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6A" w:rsidRPr="00E4496A" w:rsidRDefault="00E4496A" w:rsidP="00E4496A">
      <w:pPr>
        <w:jc w:val="center"/>
        <w:rPr>
          <w:rFonts w:eastAsia="標楷體"/>
          <w:b/>
          <w:sz w:val="32"/>
        </w:rPr>
      </w:pPr>
      <w:r w:rsidRPr="00E4496A">
        <w:rPr>
          <w:rFonts w:eastAsia="標楷體" w:hAnsi="標楷體" w:hint="eastAsia"/>
          <w:sz w:val="32"/>
          <w:szCs w:val="32"/>
        </w:rPr>
        <w:t>國立臺灣大學理學院補助學生出席國際</w:t>
      </w:r>
      <w:r w:rsidRPr="00E4496A">
        <w:rPr>
          <w:rFonts w:eastAsia="標楷體" w:hint="eastAsia"/>
          <w:sz w:val="32"/>
          <w:szCs w:val="32"/>
        </w:rPr>
        <w:t>學術會議報告</w:t>
      </w:r>
    </w:p>
    <w:p w:rsidR="00E4496A" w:rsidRPr="00E4496A" w:rsidRDefault="00E4496A" w:rsidP="00E4496A">
      <w:pPr>
        <w:spacing w:before="60" w:after="60"/>
        <w:jc w:val="center"/>
        <w:rPr>
          <w:rFonts w:eastAsia="標楷體"/>
          <w:sz w:val="32"/>
          <w:szCs w:val="32"/>
        </w:rPr>
      </w:pPr>
    </w:p>
    <w:p w:rsidR="00E4496A" w:rsidRPr="00E4496A" w:rsidRDefault="00E4496A" w:rsidP="00E4496A">
      <w:pPr>
        <w:spacing w:before="60" w:after="60"/>
        <w:jc w:val="center"/>
        <w:rPr>
          <w:rFonts w:eastAsia="標楷體"/>
          <w:b/>
          <w:sz w:val="48"/>
          <w:szCs w:val="48"/>
        </w:rPr>
      </w:pPr>
      <w:r w:rsidRPr="00E4496A">
        <w:rPr>
          <w:rFonts w:eastAsia="標楷體" w:hAnsi="標楷體"/>
          <w:b/>
          <w:sz w:val="48"/>
          <w:szCs w:val="48"/>
        </w:rPr>
        <w:t>第十五屆意識科學研究會議</w:t>
      </w:r>
    </w:p>
    <w:p w:rsidR="00E4496A" w:rsidRPr="00E4496A" w:rsidRDefault="00E4496A" w:rsidP="00E4496A">
      <w:pPr>
        <w:jc w:val="center"/>
        <w:rPr>
          <w:rFonts w:eastAsia="標楷體"/>
          <w:sz w:val="32"/>
          <w:szCs w:val="32"/>
        </w:rPr>
      </w:pPr>
      <w:r w:rsidRPr="00E4496A">
        <w:rPr>
          <w:rFonts w:eastAsia="標楷體"/>
          <w:sz w:val="32"/>
          <w:szCs w:val="32"/>
        </w:rPr>
        <w:t xml:space="preserve">The 15th annual meeting of </w:t>
      </w:r>
      <w:r w:rsidRPr="00E4496A">
        <w:rPr>
          <w:rFonts w:eastAsia="標楷體" w:hint="eastAsia"/>
          <w:sz w:val="32"/>
          <w:szCs w:val="32"/>
        </w:rPr>
        <w:br/>
      </w:r>
      <w:r w:rsidRPr="00E4496A">
        <w:rPr>
          <w:rFonts w:eastAsia="標楷體"/>
          <w:sz w:val="32"/>
          <w:szCs w:val="32"/>
        </w:rPr>
        <w:t>Association for the Scientific Study of Consciousness (ASSC)</w:t>
      </w:r>
    </w:p>
    <w:p w:rsidR="00E4496A" w:rsidRDefault="00E4496A" w:rsidP="00E4496A">
      <w:pPr>
        <w:jc w:val="center"/>
        <w:rPr>
          <w:rFonts w:eastAsia="標楷體"/>
          <w:sz w:val="32"/>
          <w:szCs w:val="32"/>
        </w:rPr>
      </w:pPr>
      <w:r w:rsidRPr="00E4496A">
        <w:rPr>
          <w:rFonts w:eastAsia="標楷體" w:hAnsi="標楷體" w:hint="eastAsia"/>
          <w:sz w:val="32"/>
          <w:szCs w:val="32"/>
        </w:rPr>
        <w:t>日本京都</w:t>
      </w:r>
    </w:p>
    <w:p w:rsidR="00E4496A" w:rsidRDefault="00E4496A" w:rsidP="00E4496A">
      <w:pPr>
        <w:jc w:val="center"/>
        <w:rPr>
          <w:rFonts w:eastAsia="標楷體"/>
          <w:sz w:val="32"/>
          <w:szCs w:val="32"/>
        </w:rPr>
      </w:pPr>
      <w:r w:rsidRPr="00E4496A">
        <w:rPr>
          <w:rFonts w:eastAsia="標楷體"/>
          <w:sz w:val="32"/>
          <w:szCs w:val="32"/>
        </w:rPr>
        <w:t>100</w:t>
      </w:r>
      <w:r>
        <w:rPr>
          <w:rFonts w:eastAsia="標楷體" w:hint="eastAsia"/>
          <w:sz w:val="32"/>
          <w:szCs w:val="32"/>
        </w:rPr>
        <w:t>年</w:t>
      </w:r>
      <w:r w:rsidRPr="00E4496A">
        <w:rPr>
          <w:rFonts w:eastAsia="標楷體"/>
          <w:sz w:val="32"/>
          <w:szCs w:val="32"/>
        </w:rPr>
        <w:t>06</w:t>
      </w:r>
      <w:r>
        <w:rPr>
          <w:rFonts w:eastAsia="標楷體" w:hint="eastAsia"/>
          <w:sz w:val="32"/>
          <w:szCs w:val="32"/>
        </w:rPr>
        <w:t>月</w:t>
      </w:r>
      <w:r w:rsidRPr="00E4496A">
        <w:rPr>
          <w:rFonts w:eastAsia="標楷體"/>
          <w:sz w:val="32"/>
          <w:szCs w:val="32"/>
        </w:rPr>
        <w:t>07</w:t>
      </w:r>
      <w:r>
        <w:rPr>
          <w:rFonts w:eastAsia="標楷體" w:hint="eastAsia"/>
          <w:sz w:val="32"/>
          <w:szCs w:val="32"/>
        </w:rPr>
        <w:t>日至</w:t>
      </w:r>
      <w:r>
        <w:rPr>
          <w:rFonts w:eastAsia="標楷體"/>
          <w:sz w:val="32"/>
          <w:szCs w:val="32"/>
        </w:rPr>
        <w:t>10</w:t>
      </w:r>
      <w:r>
        <w:rPr>
          <w:rFonts w:eastAsia="標楷體" w:hint="eastAsia"/>
          <w:sz w:val="32"/>
          <w:szCs w:val="32"/>
        </w:rPr>
        <w:t>0</w:t>
      </w:r>
      <w:r>
        <w:rPr>
          <w:rFonts w:eastAsia="標楷體" w:hint="eastAsia"/>
          <w:sz w:val="32"/>
          <w:szCs w:val="32"/>
        </w:rPr>
        <w:t>年</w:t>
      </w:r>
      <w:r w:rsidRPr="00E4496A">
        <w:rPr>
          <w:rFonts w:eastAsia="標楷體"/>
          <w:sz w:val="32"/>
          <w:szCs w:val="32"/>
        </w:rPr>
        <w:t>06</w:t>
      </w:r>
      <w:r>
        <w:rPr>
          <w:rFonts w:eastAsia="標楷體" w:hint="eastAsia"/>
          <w:sz w:val="32"/>
          <w:szCs w:val="32"/>
        </w:rPr>
        <w:t>月</w:t>
      </w:r>
      <w:r w:rsidRPr="00E4496A">
        <w:rPr>
          <w:rFonts w:eastAsia="標楷體"/>
          <w:sz w:val="32"/>
          <w:szCs w:val="32"/>
        </w:rPr>
        <w:t>13</w:t>
      </w:r>
      <w:r>
        <w:rPr>
          <w:rFonts w:eastAsia="標楷體" w:hint="eastAsia"/>
          <w:sz w:val="32"/>
          <w:szCs w:val="32"/>
        </w:rPr>
        <w:t>日</w:t>
      </w:r>
    </w:p>
    <w:p w:rsidR="00E4496A" w:rsidRDefault="00E4496A" w:rsidP="00E4496A">
      <w:pPr>
        <w:jc w:val="center"/>
        <w:rPr>
          <w:rFonts w:eastAsia="標楷體"/>
          <w:sz w:val="32"/>
          <w:szCs w:val="32"/>
        </w:rPr>
      </w:pPr>
    </w:p>
    <w:p w:rsidR="00E4496A" w:rsidRPr="00E4496A" w:rsidRDefault="00E4496A" w:rsidP="00E4496A">
      <w:pPr>
        <w:spacing w:before="60" w:after="60"/>
        <w:jc w:val="center"/>
        <w:rPr>
          <w:rFonts w:eastAsia="標楷體" w:hAnsi="標楷體"/>
          <w:sz w:val="32"/>
          <w:szCs w:val="32"/>
        </w:rPr>
      </w:pPr>
      <w:r w:rsidRPr="00E4496A">
        <w:rPr>
          <w:rFonts w:eastAsia="標楷體" w:hAnsi="標楷體" w:hint="eastAsia"/>
          <w:sz w:val="32"/>
          <w:szCs w:val="32"/>
        </w:rPr>
        <w:t>發表題目：</w:t>
      </w:r>
    </w:p>
    <w:p w:rsidR="00E4496A" w:rsidRPr="00E4496A" w:rsidRDefault="00E4496A" w:rsidP="00E4496A">
      <w:pPr>
        <w:spacing w:before="60" w:after="60"/>
        <w:jc w:val="center"/>
        <w:rPr>
          <w:rFonts w:eastAsia="標楷體"/>
          <w:b/>
          <w:sz w:val="40"/>
          <w:szCs w:val="40"/>
        </w:rPr>
      </w:pPr>
      <w:r w:rsidRPr="00E4496A">
        <w:rPr>
          <w:rFonts w:eastAsia="標楷體" w:hAnsi="標楷體"/>
          <w:b/>
          <w:sz w:val="40"/>
          <w:szCs w:val="40"/>
        </w:rPr>
        <w:t>指向或意圖？人類凝視方向隱式處理</w:t>
      </w:r>
    </w:p>
    <w:p w:rsidR="00E4496A" w:rsidRPr="00E4496A" w:rsidRDefault="00E4496A" w:rsidP="00E4496A">
      <w:pPr>
        <w:jc w:val="center"/>
        <w:rPr>
          <w:rFonts w:eastAsia="標楷體"/>
          <w:sz w:val="32"/>
          <w:szCs w:val="32"/>
        </w:rPr>
      </w:pPr>
      <w:proofErr w:type="gramStart"/>
      <w:r w:rsidRPr="00E4496A">
        <w:rPr>
          <w:rFonts w:eastAsia="標楷體"/>
          <w:sz w:val="32"/>
          <w:szCs w:val="32"/>
        </w:rPr>
        <w:t>Orienting or intention?</w:t>
      </w:r>
      <w:proofErr w:type="gramEnd"/>
      <w:r w:rsidRPr="00E4496A">
        <w:rPr>
          <w:rFonts w:eastAsia="標楷體"/>
          <w:sz w:val="32"/>
          <w:szCs w:val="32"/>
        </w:rPr>
        <w:t xml:space="preserve"> Unconscious processing of human gaze</w:t>
      </w:r>
    </w:p>
    <w:p w:rsidR="00E4496A" w:rsidRDefault="00E4496A" w:rsidP="00E4496A">
      <w:pPr>
        <w:jc w:val="center"/>
        <w:rPr>
          <w:rFonts w:eastAsia="標楷體"/>
          <w:sz w:val="32"/>
          <w:szCs w:val="32"/>
        </w:rPr>
      </w:pPr>
    </w:p>
    <w:p w:rsidR="00E4496A" w:rsidRPr="00E4496A" w:rsidRDefault="00E4496A" w:rsidP="00E4496A">
      <w:pPr>
        <w:jc w:val="center"/>
        <w:rPr>
          <w:rFonts w:eastAsia="標楷體"/>
          <w:sz w:val="32"/>
          <w:szCs w:val="32"/>
        </w:rPr>
      </w:pPr>
    </w:p>
    <w:p w:rsidR="00E4496A" w:rsidRPr="00E4496A" w:rsidRDefault="00E4496A" w:rsidP="00E4496A">
      <w:pPr>
        <w:jc w:val="center"/>
        <w:rPr>
          <w:rFonts w:eastAsia="標楷體"/>
          <w:sz w:val="32"/>
          <w:szCs w:val="32"/>
        </w:rPr>
      </w:pPr>
      <w:r w:rsidRPr="00E4496A">
        <w:rPr>
          <w:rFonts w:eastAsia="標楷體" w:hAnsi="標楷體" w:hint="eastAsia"/>
          <w:sz w:val="32"/>
          <w:szCs w:val="32"/>
        </w:rPr>
        <w:t>陳怡嘉</w:t>
      </w:r>
    </w:p>
    <w:p w:rsidR="00E4496A" w:rsidRDefault="00E4496A" w:rsidP="00E4496A">
      <w:pPr>
        <w:jc w:val="center"/>
        <w:rPr>
          <w:rFonts w:eastAsia="標楷體" w:hAnsi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臺灣大學理學院</w:t>
      </w:r>
      <w:r w:rsidRPr="00E4496A">
        <w:rPr>
          <w:rFonts w:eastAsia="標楷體" w:hAnsi="標楷體" w:hint="eastAsia"/>
          <w:sz w:val="32"/>
          <w:szCs w:val="32"/>
        </w:rPr>
        <w:t>心理學系三年級</w:t>
      </w:r>
      <w:r>
        <w:rPr>
          <w:rFonts w:eastAsia="標楷體" w:hAnsi="標楷體" w:hint="eastAsia"/>
          <w:sz w:val="32"/>
          <w:szCs w:val="32"/>
        </w:rPr>
        <w:t>學生</w:t>
      </w:r>
    </w:p>
    <w:p w:rsidR="002D66FE" w:rsidRDefault="002D66FE" w:rsidP="00E4496A">
      <w:pPr>
        <w:jc w:val="center"/>
        <w:rPr>
          <w:rFonts w:eastAsia="標楷體" w:hAnsi="標楷體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100</w:t>
      </w:r>
      <w:r>
        <w:rPr>
          <w:rFonts w:eastAsia="標楷體" w:hAnsi="標楷體" w:hint="eastAsia"/>
          <w:sz w:val="32"/>
          <w:szCs w:val="32"/>
        </w:rPr>
        <w:t>年</w:t>
      </w:r>
      <w:r>
        <w:rPr>
          <w:rFonts w:eastAsia="標楷體" w:hAnsi="標楷體" w:hint="eastAsia"/>
          <w:sz w:val="32"/>
          <w:szCs w:val="32"/>
        </w:rPr>
        <w:t>06</w:t>
      </w:r>
      <w:r>
        <w:rPr>
          <w:rFonts w:eastAsia="標楷體" w:hAnsi="標楷體" w:hint="eastAsia"/>
          <w:sz w:val="32"/>
          <w:szCs w:val="32"/>
        </w:rPr>
        <w:t>月</w:t>
      </w:r>
      <w:r>
        <w:rPr>
          <w:rFonts w:eastAsia="標楷體" w:hAnsi="標楷體" w:hint="eastAsia"/>
          <w:sz w:val="32"/>
          <w:szCs w:val="32"/>
        </w:rPr>
        <w:t>24</w:t>
      </w:r>
      <w:r>
        <w:rPr>
          <w:rFonts w:eastAsia="標楷體" w:hAnsi="標楷體" w:hint="eastAsia"/>
          <w:sz w:val="32"/>
          <w:szCs w:val="32"/>
        </w:rPr>
        <w:t>日</w:t>
      </w:r>
    </w:p>
    <w:p w:rsidR="00E4496A" w:rsidRDefault="00E4496A">
      <w:pPr>
        <w:widowControl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br w:type="page"/>
      </w:r>
    </w:p>
    <w:p w:rsidR="00E4496A" w:rsidRPr="00E4496A" w:rsidRDefault="00422383" w:rsidP="007D1F7B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w:lastRenderedPageBreak/>
        <w:pict>
          <v:rect id="_x0000_s1026" style="position:absolute;left:0;text-align:left;margin-left:98.25pt;margin-top:7.5pt;width:316.5pt;height:12.75pt;z-index:-251658240" fillcolor="#8064a2" stroked="f" strokecolor="#f2f2f2 [3041]" strokeweight="1pt">
            <v:fill opacity="15073f" color2="#3f3151 [1607]"/>
            <v:shadow type="perspective" color="#ccc0d9 [1303]" opacity=".5" origin=",.5" offset="0,0" matrix=",-56756f,,.5"/>
          </v:rect>
        </w:pict>
      </w:r>
      <w:r w:rsidR="00E4496A" w:rsidRPr="00E4496A">
        <w:rPr>
          <w:rFonts w:eastAsia="標楷體" w:hint="eastAsia"/>
          <w:b/>
          <w:sz w:val="36"/>
          <w:szCs w:val="36"/>
        </w:rPr>
        <w:t>一、參加會議經過</w:t>
      </w:r>
    </w:p>
    <w:p w:rsidR="005669DB" w:rsidRDefault="00E4496A" w:rsidP="007D1F7B">
      <w:pPr>
        <w:spacing w:line="360" w:lineRule="auto"/>
        <w:rPr>
          <w:rFonts w:ascii="標楷體" w:eastAsia="標楷體" w:hAnsi="標楷體"/>
        </w:rPr>
      </w:pPr>
      <w:r w:rsidRPr="00E4496A">
        <w:rPr>
          <w:rFonts w:ascii="標楷體" w:eastAsia="標楷體" w:hAnsi="標楷體" w:hint="eastAsia"/>
        </w:rPr>
        <w:t xml:space="preserve">　　</w:t>
      </w:r>
      <w:r w:rsidR="005669DB">
        <w:rPr>
          <w:rFonts w:ascii="標楷體" w:eastAsia="標楷體" w:hAnsi="標楷體" w:hint="eastAsia"/>
        </w:rPr>
        <w:t>此</w:t>
      </w:r>
      <w:r w:rsidR="004B44A3">
        <w:rPr>
          <w:rFonts w:ascii="標楷體" w:eastAsia="標楷體" w:hAnsi="標楷體" w:hint="eastAsia"/>
        </w:rPr>
        <w:t>次意識科學研究會議選擇在旅遊勝地京都舉行，原定接續日本仙台於訂定日</w:t>
      </w:r>
      <w:r w:rsidR="005669DB">
        <w:rPr>
          <w:rFonts w:ascii="標楷體" w:eastAsia="標楷體" w:hAnsi="標楷體" w:hint="eastAsia"/>
        </w:rPr>
        <w:t>期前</w:t>
      </w:r>
      <w:r w:rsidR="004B44A3">
        <w:rPr>
          <w:rFonts w:ascii="標楷體" w:eastAsia="標楷體" w:hAnsi="標楷體" w:hint="eastAsia"/>
        </w:rPr>
        <w:t>結束之國際多感官研究研討會議</w:t>
      </w:r>
      <w:r w:rsidR="005669DB">
        <w:rPr>
          <w:rFonts w:ascii="標楷體" w:eastAsia="標楷體" w:hAnsi="標楷體" w:hint="eastAsia"/>
        </w:rPr>
        <w:t>後</w:t>
      </w:r>
      <w:r w:rsidR="004B44A3">
        <w:rPr>
          <w:rFonts w:ascii="標楷體" w:eastAsia="標楷體" w:hAnsi="標楷體" w:hint="eastAsia"/>
        </w:rPr>
        <w:t>舉行，不幸於投稿後、會議前發生三一一日本大地震，多感官會議</w:t>
      </w:r>
      <w:r w:rsidR="005669DB">
        <w:rPr>
          <w:rFonts w:ascii="標楷體" w:eastAsia="標楷體" w:hAnsi="標楷體" w:hint="eastAsia"/>
        </w:rPr>
        <w:t>不得已</w:t>
      </w:r>
      <w:r w:rsidR="004B44A3">
        <w:rPr>
          <w:rFonts w:ascii="標楷體" w:eastAsia="標楷體" w:hAnsi="標楷體" w:hint="eastAsia"/>
        </w:rPr>
        <w:t>異地改期，</w:t>
      </w:r>
      <w:r w:rsidR="005669DB">
        <w:rPr>
          <w:rFonts w:ascii="標楷體" w:eastAsia="標楷體" w:hAnsi="標楷體" w:hint="eastAsia"/>
        </w:rPr>
        <w:t>意識科學研究會議經考量後作出堅定決策：一切如常舉辦。</w:t>
      </w:r>
    </w:p>
    <w:p w:rsidR="00E4496A" w:rsidRDefault="005669DB" w:rsidP="007D1F7B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雖然許多人因擔憂輻射問題而決定不參與，但本實驗室經過討論，認為參與會議就是最佳的支持，於是</w:t>
      </w:r>
      <w:r w:rsidR="005313E7">
        <w:rPr>
          <w:rFonts w:ascii="標楷體" w:eastAsia="標楷體" w:hAnsi="標楷體" w:hint="eastAsia"/>
        </w:rPr>
        <w:t>筆者</w:t>
      </w:r>
      <w:r>
        <w:rPr>
          <w:rFonts w:ascii="標楷體" w:eastAsia="標楷體" w:hAnsi="標楷體" w:hint="eastAsia"/>
        </w:rPr>
        <w:t>與</w:t>
      </w:r>
      <w:r w:rsidR="005C18CB"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 w:hint="eastAsia"/>
        </w:rPr>
        <w:t>實驗室廖心怡博士、楊詠皓學長、</w:t>
      </w:r>
      <w:proofErr w:type="gramStart"/>
      <w:r>
        <w:rPr>
          <w:rFonts w:ascii="標楷體" w:eastAsia="標楷體" w:hAnsi="標楷體" w:hint="eastAsia"/>
        </w:rPr>
        <w:t>李碩衡</w:t>
      </w:r>
      <w:proofErr w:type="gramEnd"/>
      <w:r>
        <w:rPr>
          <w:rFonts w:ascii="標楷體" w:eastAsia="標楷體" w:hAnsi="標楷體" w:hint="eastAsia"/>
        </w:rPr>
        <w:t>學長同行參加。</w:t>
      </w:r>
    </w:p>
    <w:p w:rsidR="00E4496A" w:rsidRDefault="005669DB" w:rsidP="007D1F7B">
      <w:pPr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　意識科學研究會議</w:t>
      </w:r>
      <w:r w:rsidR="00B66CC0">
        <w:rPr>
          <w:rFonts w:ascii="標楷體" w:eastAsia="標楷體" w:hAnsi="標楷體" w:hint="eastAsia"/>
        </w:rPr>
        <w:t>關注與意識相關之哲學、心理學、資訊工程等各領域之研究，此次年會</w:t>
      </w:r>
      <w:r>
        <w:rPr>
          <w:rFonts w:ascii="標楷體" w:eastAsia="標楷體" w:hAnsi="標楷體" w:hint="eastAsia"/>
        </w:rPr>
        <w:t>包含三個衛星會議、</w:t>
      </w:r>
      <w:r w:rsidR="000F0490">
        <w:rPr>
          <w:rFonts w:ascii="標楷體" w:eastAsia="標楷體" w:hAnsi="標楷體" w:hint="eastAsia"/>
        </w:rPr>
        <w:t>一日收費教學演講、七場主題演講、四場專題討論</w:t>
      </w:r>
      <w:r w:rsidR="00B66CC0">
        <w:rPr>
          <w:rFonts w:ascii="標楷體" w:eastAsia="標楷體" w:hAnsi="標楷體" w:hint="eastAsia"/>
        </w:rPr>
        <w:t>，分為十二</w:t>
      </w:r>
      <w:proofErr w:type="gramStart"/>
      <w:r w:rsidR="00B66CC0">
        <w:rPr>
          <w:rFonts w:ascii="標楷體" w:eastAsia="標楷體" w:hAnsi="標楷體" w:hint="eastAsia"/>
        </w:rPr>
        <w:t>個</w:t>
      </w:r>
      <w:proofErr w:type="gramEnd"/>
      <w:r w:rsidR="00B66CC0">
        <w:rPr>
          <w:rFonts w:ascii="標楷體" w:eastAsia="標楷體" w:hAnsi="標楷體" w:hint="eastAsia"/>
        </w:rPr>
        <w:t>小主題共有七十二篇口頭發表，以及一百七十八篇海報發表。</w:t>
      </w:r>
      <w:r w:rsidR="005313E7">
        <w:rPr>
          <w:rFonts w:ascii="標楷體" w:eastAsia="標楷體" w:hAnsi="標楷體" w:hint="eastAsia"/>
        </w:rPr>
        <w:t>筆者</w:t>
      </w:r>
      <w:r w:rsidR="005C18CB">
        <w:rPr>
          <w:rFonts w:ascii="標楷體" w:eastAsia="標楷體" w:hAnsi="標楷體" w:hint="eastAsia"/>
        </w:rPr>
        <w:t>之口</w:t>
      </w:r>
      <w:r w:rsidR="000F0490">
        <w:rPr>
          <w:rFonts w:ascii="標楷體" w:eastAsia="標楷體" w:hAnsi="標楷體" w:hint="eastAsia"/>
        </w:rPr>
        <w:t>頭發表</w:t>
      </w:r>
      <w:r w:rsidR="005C18CB">
        <w:rPr>
          <w:rFonts w:ascii="標楷體" w:eastAsia="標楷體" w:hAnsi="標楷體" w:hint="eastAsia"/>
        </w:rPr>
        <w:t>時間訂於會議末日最後一場。</w:t>
      </w:r>
    </w:p>
    <w:p w:rsidR="007D1F7B" w:rsidRPr="00E4496A" w:rsidRDefault="007D1F7B" w:rsidP="007D1F7B">
      <w:pPr>
        <w:spacing w:line="360" w:lineRule="auto"/>
        <w:rPr>
          <w:rFonts w:eastAsia="標楷體"/>
        </w:rPr>
      </w:pPr>
    </w:p>
    <w:p w:rsidR="00E4496A" w:rsidRPr="00E4496A" w:rsidRDefault="00422383" w:rsidP="007D1F7B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noProof/>
          <w:sz w:val="36"/>
          <w:szCs w:val="36"/>
        </w:rPr>
        <w:pict>
          <v:rect id="_x0000_s1027" style="position:absolute;left:0;text-align:left;margin-left:102pt;margin-top:6pt;width:316.5pt;height:12.75pt;z-index:-251657216" fillcolor="#8064a2" stroked="f" strokecolor="#f2f2f2 [3041]" strokeweight="1pt">
            <v:fill opacity="15073f" color2="#3f3151 [1607]"/>
            <v:shadow type="perspective" color="#ccc0d9 [1303]" opacity=".5" origin=",.5" offset="0,0" matrix=",-56756f,,.5"/>
          </v:rect>
        </w:pict>
      </w:r>
      <w:r w:rsidR="00E4496A" w:rsidRPr="00E4496A">
        <w:rPr>
          <w:rFonts w:eastAsia="標楷體" w:hint="eastAsia"/>
          <w:b/>
          <w:sz w:val="36"/>
          <w:szCs w:val="36"/>
        </w:rPr>
        <w:t>二、與會心得</w:t>
      </w:r>
    </w:p>
    <w:p w:rsidR="00E4496A" w:rsidRPr="00245C78" w:rsidRDefault="00242F90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245C78">
        <w:rPr>
          <w:rFonts w:eastAsia="標楷體" w:hint="eastAsia"/>
        </w:rPr>
        <w:t>這是</w:t>
      </w:r>
      <w:r w:rsidR="005313E7">
        <w:rPr>
          <w:rFonts w:eastAsia="標楷體" w:hint="eastAsia"/>
        </w:rPr>
        <w:t>筆者</w:t>
      </w:r>
      <w:r w:rsidR="00245C78">
        <w:rPr>
          <w:rFonts w:eastAsia="標楷體" w:hint="eastAsia"/>
        </w:rPr>
        <w:t>首度參加國際會議，對於大學生參與國際會議並發表研究成果有些心得。</w:t>
      </w:r>
      <w:r w:rsidR="005313E7">
        <w:rPr>
          <w:rFonts w:eastAsia="標楷體" w:hint="eastAsia"/>
        </w:rPr>
        <w:t>筆者</w:t>
      </w:r>
      <w:r w:rsidR="00245C78">
        <w:rPr>
          <w:rFonts w:eastAsia="標楷體" w:hint="eastAsia"/>
        </w:rPr>
        <w:t>揣測如對學術研究確有興趣，參與國際會議相當有助益，尤其是相似於意識科學研究會議這類有特定主題的中型會議，以下詳細討論：第一，藉由參加主題會議，可獲得對整個領域走向及重要議題的完整了解，並且得知研究之最新趨勢。第二，參加會議可認識相關領域的研究者，與這些前輩學者對談、尋求建議，對於未來學術生涯相信很有助益。第三，來自世界各地的學者於短暫幾天快速交換學術消息、與同行友人敘舊，對於</w:t>
      </w:r>
      <w:r w:rsidR="005313E7">
        <w:rPr>
          <w:rFonts w:eastAsia="標楷體" w:hint="eastAsia"/>
        </w:rPr>
        <w:t>筆者</w:t>
      </w:r>
      <w:r w:rsidR="00245C78">
        <w:rPr>
          <w:rFonts w:eastAsia="標楷體" w:hint="eastAsia"/>
        </w:rPr>
        <w:t>是一大衝擊。這些訊息交換是如此迅速有效，合作關係、成果分享、研究建議都在偶然的對話之中發生，並且對後續科學研究產生影響，這些是守在自家無法發現的</w:t>
      </w:r>
      <w:r w:rsidR="00D45851">
        <w:rPr>
          <w:rFonts w:eastAsia="標楷體" w:hint="eastAsia"/>
        </w:rPr>
        <w:t>快速</w:t>
      </w:r>
      <w:r w:rsidR="00245C78">
        <w:rPr>
          <w:rFonts w:eastAsia="標楷體" w:hint="eastAsia"/>
        </w:rPr>
        <w:t>學術進展</w:t>
      </w:r>
      <w:r w:rsidR="00D45851">
        <w:rPr>
          <w:rFonts w:eastAsia="標楷體" w:hint="eastAsia"/>
        </w:rPr>
        <w:t>。第四，</w:t>
      </w:r>
      <w:r w:rsidR="005313E7">
        <w:rPr>
          <w:rFonts w:eastAsia="標楷體" w:hint="eastAsia"/>
        </w:rPr>
        <w:t>筆者</w:t>
      </w:r>
      <w:r w:rsidR="00D45851">
        <w:rPr>
          <w:rFonts w:eastAsia="標楷體" w:hint="eastAsia"/>
        </w:rPr>
        <w:t>身為一個大學生，在會議中得到許多照顧與建議，對未來生涯規劃也有了更清晰的認識，是相當難得的機會。第五，從國際一流學者的演講、發表中，了解到所</w:t>
      </w:r>
      <w:r w:rsidR="00D45851">
        <w:rPr>
          <w:rFonts w:eastAsia="標楷體" w:hint="eastAsia"/>
        </w:rPr>
        <w:lastRenderedPageBreak/>
        <w:t>謂大師風範，更了解到自己不足之處，也有了努力的方向</w:t>
      </w:r>
      <w:r w:rsidR="00A55D91">
        <w:rPr>
          <w:rFonts w:eastAsia="標楷體" w:hint="eastAsia"/>
        </w:rPr>
        <w:t>。</w:t>
      </w:r>
      <w:r w:rsidR="005313E7">
        <w:rPr>
          <w:rFonts w:eastAsia="標楷體" w:hint="eastAsia"/>
        </w:rPr>
        <w:t>筆者</w:t>
      </w:r>
      <w:r w:rsidR="00A55D91">
        <w:rPr>
          <w:rFonts w:eastAsia="標楷體" w:hint="eastAsia"/>
        </w:rPr>
        <w:t>自認在大學時期有此一認識是相當好運的</w:t>
      </w:r>
      <w:r w:rsidR="00D45851">
        <w:rPr>
          <w:rFonts w:eastAsia="標楷體" w:hint="eastAsia"/>
        </w:rPr>
        <w:t>。</w:t>
      </w:r>
    </w:p>
    <w:p w:rsidR="00E4496A" w:rsidRPr="00E4496A" w:rsidRDefault="00D45851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A55D91">
        <w:rPr>
          <w:rFonts w:eastAsia="標楷體" w:hint="eastAsia"/>
        </w:rPr>
        <w:t>對於後續有益參加國際會議之大學部學生，</w:t>
      </w:r>
      <w:r w:rsidR="005313E7">
        <w:rPr>
          <w:rFonts w:eastAsia="標楷體" w:hint="eastAsia"/>
        </w:rPr>
        <w:t>筆者</w:t>
      </w:r>
      <w:r w:rsidR="00A55D91">
        <w:rPr>
          <w:rFonts w:eastAsia="標楷體" w:hint="eastAsia"/>
        </w:rPr>
        <w:t>有一或可參考的建議：語言能力在這樣的國際會議中相當重要，尤其是共通的英語能力。所有的交流都在英語底下進行，能夠聽懂英語就能夠從演講中學到更多，能夠說英語就在正式及非正式社交場合產生優勢，更重要的是，能夠將自己的成果傳達得更清楚。語言能力愈好，參與國際會議收穫愈大。</w:t>
      </w:r>
    </w:p>
    <w:p w:rsidR="00E4496A" w:rsidRPr="00E4496A" w:rsidRDefault="0074601B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此次會議有許多精彩的演講與研究結果發表，以下選擇性列出幾項簡短介紹：</w:t>
      </w:r>
    </w:p>
    <w:p w:rsidR="0074601B" w:rsidRDefault="0074601B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於社會認知神經衛星會議（</w:t>
      </w:r>
      <w:r w:rsidRPr="0074601B">
        <w:rPr>
          <w:rFonts w:eastAsia="標楷體"/>
        </w:rPr>
        <w:t>Social Neuroscience Satellite</w:t>
      </w:r>
      <w:r>
        <w:rPr>
          <w:rFonts w:eastAsia="標楷體" w:hint="eastAsia"/>
        </w:rPr>
        <w:t>）中，日本學者</w:t>
      </w:r>
      <w:proofErr w:type="spellStart"/>
      <w:r w:rsidRPr="0074601B">
        <w:rPr>
          <w:rFonts w:eastAsia="標楷體"/>
        </w:rPr>
        <w:t>Tetsuro</w:t>
      </w:r>
      <w:proofErr w:type="spellEnd"/>
      <w:r w:rsidRPr="0074601B">
        <w:rPr>
          <w:rFonts w:eastAsia="標楷體"/>
        </w:rPr>
        <w:t xml:space="preserve"> Matsuzawa</w:t>
      </w:r>
      <w:r>
        <w:rPr>
          <w:rFonts w:eastAsia="標楷體" w:hint="eastAsia"/>
        </w:rPr>
        <w:t>發表演講</w:t>
      </w:r>
      <w:r w:rsidR="006D2340">
        <w:rPr>
          <w:rFonts w:eastAsia="標楷體" w:hint="eastAsia"/>
        </w:rPr>
        <w:t>「</w:t>
      </w:r>
      <w:r w:rsidRPr="0074601B">
        <w:rPr>
          <w:rFonts w:eastAsia="標楷體"/>
        </w:rPr>
        <w:t>What is uniquely human? An answer from studies of chimpanzees</w:t>
      </w:r>
      <w:r w:rsidR="006D2340">
        <w:rPr>
          <w:rFonts w:eastAsia="標楷體" w:hint="eastAsia"/>
        </w:rPr>
        <w:t>」，從黑猩猩的研究中，得出人類特出之處：家庭成員關係的相互性、</w:t>
      </w:r>
      <w:r w:rsidR="004A7496">
        <w:rPr>
          <w:rFonts w:eastAsia="標楷體" w:hint="eastAsia"/>
        </w:rPr>
        <w:t>安定的躺姿允許口語溝通及凝視訊息、抽象概念、關注在少了什麼而非已經有了什麼、對未來的希望與絕望。</w:t>
      </w:r>
    </w:p>
    <w:p w:rsidR="00D54583" w:rsidRDefault="00D54583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高階認知衛星會議（</w:t>
      </w:r>
      <w:proofErr w:type="spellStart"/>
      <w:r>
        <w:rPr>
          <w:rFonts w:eastAsia="標楷體" w:hint="eastAsia"/>
        </w:rPr>
        <w:t>Metacoginition</w:t>
      </w:r>
      <w:proofErr w:type="spellEnd"/>
      <w:r>
        <w:rPr>
          <w:rFonts w:eastAsia="標楷體" w:hint="eastAsia"/>
        </w:rPr>
        <w:t xml:space="preserve"> satellite</w:t>
      </w:r>
      <w:r>
        <w:rPr>
          <w:rFonts w:eastAsia="標楷體" w:hint="eastAsia"/>
        </w:rPr>
        <w:t>）中，</w:t>
      </w:r>
      <w:r w:rsidR="002D66FE">
        <w:rPr>
          <w:rFonts w:eastAsia="標楷體" w:hint="eastAsia"/>
        </w:rPr>
        <w:t>來自美國紐約的</w:t>
      </w:r>
      <w:r>
        <w:rPr>
          <w:rFonts w:eastAsia="標楷體" w:hint="eastAsia"/>
        </w:rPr>
        <w:t>學者</w:t>
      </w:r>
      <w:proofErr w:type="spellStart"/>
      <w:r>
        <w:rPr>
          <w:rFonts w:eastAsia="標楷體" w:hint="eastAsia"/>
        </w:rPr>
        <w:t>Hakwan</w:t>
      </w:r>
      <w:proofErr w:type="spellEnd"/>
      <w:r>
        <w:rPr>
          <w:rFonts w:eastAsia="標楷體" w:hint="eastAsia"/>
        </w:rPr>
        <w:t xml:space="preserve"> Lau</w:t>
      </w:r>
      <w:r>
        <w:rPr>
          <w:rFonts w:eastAsia="標楷體" w:hint="eastAsia"/>
        </w:rPr>
        <w:t>發表演講「</w:t>
      </w:r>
      <w:proofErr w:type="spellStart"/>
      <w:r w:rsidRPr="00D54583">
        <w:rPr>
          <w:rFonts w:eastAsia="標楷體"/>
        </w:rPr>
        <w:t>Metacognitive</w:t>
      </w:r>
      <w:proofErr w:type="spellEnd"/>
      <w:r w:rsidRPr="00D54583">
        <w:rPr>
          <w:rFonts w:eastAsia="標楷體"/>
        </w:rPr>
        <w:t xml:space="preserve"> judgments reflect conscious phenomenology</w:t>
      </w:r>
      <w:r>
        <w:rPr>
          <w:rFonts w:eastAsia="標楷體" w:hint="eastAsia"/>
        </w:rPr>
        <w:t>」</w:t>
      </w:r>
      <w:r w:rsidR="00A226B8">
        <w:rPr>
          <w:rFonts w:eastAsia="標楷體" w:hint="eastAsia"/>
        </w:rPr>
        <w:t>。</w:t>
      </w:r>
      <w:r w:rsidR="00A226B8">
        <w:rPr>
          <w:rFonts w:eastAsia="標楷體" w:hint="eastAsia"/>
        </w:rPr>
        <w:t>Lau</w:t>
      </w:r>
      <w:r w:rsidR="002D66FE">
        <w:rPr>
          <w:rFonts w:eastAsia="標楷體" w:hint="eastAsia"/>
        </w:rPr>
        <w:t>提出過去採用信號偵查理論的資料分析中，以敏感度（</w:t>
      </w:r>
      <w:r w:rsidR="002D66FE">
        <w:rPr>
          <w:rFonts w:eastAsia="標楷體" w:hint="eastAsia"/>
        </w:rPr>
        <w:t>sensibility</w:t>
      </w:r>
      <w:r w:rsidR="002D66FE">
        <w:rPr>
          <w:rFonts w:eastAsia="標楷體" w:hint="eastAsia"/>
        </w:rPr>
        <w:t>，</w:t>
      </w:r>
      <w:r w:rsidR="002D66FE">
        <w:rPr>
          <w:rFonts w:eastAsia="標楷體" w:hint="eastAsia"/>
        </w:rPr>
        <w:t>d</w:t>
      </w:r>
      <w:r w:rsidR="002D66FE">
        <w:rPr>
          <w:rFonts w:eastAsia="標楷體"/>
        </w:rPr>
        <w:t>’</w:t>
      </w:r>
      <w:r w:rsidR="002D66FE">
        <w:rPr>
          <w:rFonts w:eastAsia="標楷體" w:hint="eastAsia"/>
        </w:rPr>
        <w:t>）作為可見度（</w:t>
      </w:r>
      <w:r w:rsidR="002D66FE">
        <w:rPr>
          <w:rFonts w:eastAsia="標楷體" w:hint="eastAsia"/>
        </w:rPr>
        <w:t>visibility</w:t>
      </w:r>
      <w:r w:rsidR="002D66FE">
        <w:rPr>
          <w:rFonts w:eastAsia="標楷體" w:hint="eastAsia"/>
        </w:rPr>
        <w:t>）是有問題的。</w:t>
      </w:r>
      <w:r w:rsidR="00A226B8">
        <w:rPr>
          <w:rFonts w:eastAsia="標楷體" w:hint="eastAsia"/>
        </w:rPr>
        <w:t>他</w:t>
      </w:r>
      <w:r w:rsidR="002D66FE">
        <w:rPr>
          <w:rFonts w:eastAsia="標楷體" w:hint="eastAsia"/>
        </w:rPr>
        <w:t>將信心度（</w:t>
      </w:r>
      <w:r w:rsidR="002D66FE">
        <w:rPr>
          <w:rFonts w:eastAsia="標楷體" w:hint="eastAsia"/>
        </w:rPr>
        <w:t>confidence rating</w:t>
      </w:r>
      <w:r w:rsidR="002D66FE">
        <w:rPr>
          <w:rFonts w:eastAsia="標楷體" w:hint="eastAsia"/>
        </w:rPr>
        <w:t>）作為主觀報告，發現相當反直覺地，敏感度愈高，信心度愈是下降。</w:t>
      </w:r>
      <w:r w:rsidR="00A226B8">
        <w:rPr>
          <w:rFonts w:eastAsia="標楷體" w:hint="eastAsia"/>
        </w:rPr>
        <w:t>實驗結果發現</w:t>
      </w:r>
      <w:r w:rsidR="002D66FE">
        <w:rPr>
          <w:rFonts w:eastAsia="標楷體" w:hint="eastAsia"/>
        </w:rPr>
        <w:t>變異度在低敏感度情況下較大的解釋，可預測信心度的下降。</w:t>
      </w:r>
    </w:p>
    <w:p w:rsidR="00B86A5E" w:rsidRPr="00E4496A" w:rsidRDefault="002D66FE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在</w:t>
      </w:r>
      <w:r w:rsidR="00A226B8">
        <w:rPr>
          <w:rFonts w:eastAsia="標楷體" w:hint="eastAsia"/>
        </w:rPr>
        <w:t>「</w:t>
      </w:r>
      <w:r w:rsidR="00A226B8" w:rsidRPr="00A226B8">
        <w:rPr>
          <w:rFonts w:eastAsia="標楷體"/>
        </w:rPr>
        <w:t>Body &amp; mind</w:t>
      </w:r>
      <w:r w:rsidR="00A226B8">
        <w:rPr>
          <w:rFonts w:eastAsia="標楷體" w:hint="eastAsia"/>
        </w:rPr>
        <w:t>」系列之口頭發表第三場，</w:t>
      </w:r>
      <w:r w:rsidR="00A226B8" w:rsidRPr="00A226B8">
        <w:rPr>
          <w:rFonts w:eastAsia="標楷體" w:hint="eastAsia"/>
        </w:rPr>
        <w:t>Pfeiffer</w:t>
      </w:r>
      <w:r w:rsidR="00A226B8" w:rsidRPr="00A226B8">
        <w:rPr>
          <w:rFonts w:eastAsia="標楷體" w:hint="eastAsia"/>
        </w:rPr>
        <w:t>，</w:t>
      </w:r>
      <w:proofErr w:type="spellStart"/>
      <w:r w:rsidR="00A226B8" w:rsidRPr="00A226B8">
        <w:rPr>
          <w:rFonts w:eastAsia="標楷體" w:hint="eastAsia"/>
        </w:rPr>
        <w:t>Martuzzi</w:t>
      </w:r>
      <w:proofErr w:type="spellEnd"/>
      <w:r w:rsidR="00A226B8" w:rsidRPr="00A226B8">
        <w:rPr>
          <w:rFonts w:eastAsia="標楷體" w:hint="eastAsia"/>
        </w:rPr>
        <w:t>，</w:t>
      </w:r>
      <w:proofErr w:type="spellStart"/>
      <w:r w:rsidR="00A226B8" w:rsidRPr="00A226B8">
        <w:rPr>
          <w:rFonts w:eastAsia="標楷體" w:hint="eastAsia"/>
        </w:rPr>
        <w:t>Duenas</w:t>
      </w:r>
      <w:proofErr w:type="spellEnd"/>
      <w:r w:rsidR="00A226B8" w:rsidRPr="00A226B8">
        <w:rPr>
          <w:rFonts w:eastAsia="標楷體" w:hint="eastAsia"/>
        </w:rPr>
        <w:t>，</w:t>
      </w:r>
      <w:proofErr w:type="spellStart"/>
      <w:r w:rsidR="00A226B8" w:rsidRPr="00A226B8">
        <w:rPr>
          <w:rFonts w:eastAsia="標楷體" w:hint="eastAsia"/>
        </w:rPr>
        <w:t>Gassert</w:t>
      </w:r>
      <w:proofErr w:type="spellEnd"/>
      <w:r w:rsidR="00A226B8" w:rsidRPr="00A226B8">
        <w:rPr>
          <w:rFonts w:eastAsia="標楷體" w:hint="eastAsia"/>
        </w:rPr>
        <w:t>與</w:t>
      </w:r>
      <w:proofErr w:type="spellStart"/>
      <w:r w:rsidR="00A226B8" w:rsidRPr="00A226B8">
        <w:rPr>
          <w:rFonts w:eastAsia="標楷體" w:hint="eastAsia"/>
        </w:rPr>
        <w:t>Blanke</w:t>
      </w:r>
      <w:proofErr w:type="spellEnd"/>
      <w:r w:rsidR="00A226B8">
        <w:rPr>
          <w:rFonts w:eastAsia="標楷體" w:hint="eastAsia"/>
        </w:rPr>
        <w:t>發表「</w:t>
      </w:r>
      <w:r w:rsidR="00A226B8" w:rsidRPr="00A226B8">
        <w:rPr>
          <w:rFonts w:eastAsia="標楷體"/>
        </w:rPr>
        <w:t>Upside Down: Visual-vestibular conflict induces illusory changes in the experienced direction of the first-person perspective</w:t>
      </w:r>
      <w:r w:rsidR="00A226B8">
        <w:rPr>
          <w:rFonts w:eastAsia="標楷體" w:hint="eastAsia"/>
        </w:rPr>
        <w:t>」。</w:t>
      </w:r>
      <w:r w:rsidR="000264F2">
        <w:rPr>
          <w:rFonts w:eastAsia="標楷體" w:hint="eastAsia"/>
        </w:rPr>
        <w:t>他們利用影像呈現與觸感同步</w:t>
      </w:r>
      <w:proofErr w:type="gramStart"/>
      <w:r w:rsidR="000264F2">
        <w:rPr>
          <w:rFonts w:eastAsia="標楷體" w:hint="eastAsia"/>
        </w:rPr>
        <w:t>引發離體經驗</w:t>
      </w:r>
      <w:proofErr w:type="gramEnd"/>
      <w:r w:rsidR="000264F2">
        <w:rPr>
          <w:rFonts w:eastAsia="標楷體" w:hint="eastAsia"/>
        </w:rPr>
        <w:t>，並採用</w:t>
      </w:r>
      <w:proofErr w:type="spellStart"/>
      <w:r w:rsidR="000264F2">
        <w:rPr>
          <w:rFonts w:eastAsia="標楷體" w:hint="eastAsia"/>
        </w:rPr>
        <w:t>fMRI</w:t>
      </w:r>
      <w:proofErr w:type="spellEnd"/>
      <w:r w:rsidR="000264F2">
        <w:rPr>
          <w:rFonts w:eastAsia="標楷體" w:hint="eastAsia"/>
        </w:rPr>
        <w:t>技術偵測腦部活動。較特殊的結果是，受試者</w:t>
      </w:r>
      <w:proofErr w:type="gramStart"/>
      <w:r w:rsidR="000264F2">
        <w:rPr>
          <w:rFonts w:eastAsia="標楷體" w:hint="eastAsia"/>
        </w:rPr>
        <w:t>的離體經驗</w:t>
      </w:r>
      <w:proofErr w:type="gramEnd"/>
      <w:r w:rsidR="000264F2">
        <w:rPr>
          <w:rFonts w:eastAsia="標楷體" w:hint="eastAsia"/>
        </w:rPr>
        <w:t>分成兩種，翻身向下看與平移向上看。</w:t>
      </w:r>
      <w:r w:rsidR="000264F2">
        <w:rPr>
          <w:rFonts w:eastAsia="標楷體" w:hint="eastAsia"/>
        </w:rPr>
        <w:t>Pfeiffer</w:t>
      </w:r>
      <w:r w:rsidR="000264F2">
        <w:rPr>
          <w:rFonts w:eastAsia="標楷體" w:hint="eastAsia"/>
        </w:rPr>
        <w:t>等人將</w:t>
      </w:r>
      <w:r w:rsidR="00AE645F">
        <w:rPr>
          <w:rFonts w:eastAsia="標楷體" w:hint="eastAsia"/>
        </w:rPr>
        <w:t>受試者依經驗方向分成兩組，發現兩組對自己身體位置的評估</w:t>
      </w:r>
      <w:proofErr w:type="gramStart"/>
      <w:r w:rsidR="00AE645F">
        <w:rPr>
          <w:rFonts w:eastAsia="標楷體" w:hint="eastAsia"/>
        </w:rPr>
        <w:t>在離體經驗</w:t>
      </w:r>
      <w:proofErr w:type="gramEnd"/>
      <w:r w:rsidR="00AE645F">
        <w:rPr>
          <w:rFonts w:eastAsia="標楷體" w:hint="eastAsia"/>
        </w:rPr>
        <w:t>引發之前</w:t>
      </w:r>
      <w:r w:rsidR="00AE645F">
        <w:rPr>
          <w:rFonts w:eastAsia="標楷體" w:hint="eastAsia"/>
        </w:rPr>
        <w:lastRenderedPageBreak/>
        <w:t>就有差異，並</w:t>
      </w:r>
      <w:proofErr w:type="gramStart"/>
      <w:r w:rsidR="00AE645F">
        <w:rPr>
          <w:rFonts w:eastAsia="標楷體" w:hint="eastAsia"/>
        </w:rPr>
        <w:t>在離體經驗</w:t>
      </w:r>
      <w:proofErr w:type="gramEnd"/>
      <w:r w:rsidR="00AE645F">
        <w:rPr>
          <w:rFonts w:eastAsia="標楷體" w:hint="eastAsia"/>
        </w:rPr>
        <w:t>引發後向顛倒方向位移，導致綜合分析時無法得到結果。</w:t>
      </w:r>
    </w:p>
    <w:p w:rsidR="00057B24" w:rsidRDefault="00B86A5E" w:rsidP="007D1F7B">
      <w:p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 xml:space="preserve">　　</w:t>
      </w:r>
      <w:r w:rsidR="00AA2F0E">
        <w:rPr>
          <w:rFonts w:eastAsia="標楷體" w:hint="eastAsia"/>
        </w:rPr>
        <w:t>由於意識科學研究會議是一跨領域學者共襄盛舉的國際會議，在各種演講與學術成果發表之中，學到許多非本領域如哲學、工程技術等的觀點，其中最特殊的是最後一場</w:t>
      </w:r>
      <w:r w:rsidR="00057B24">
        <w:rPr>
          <w:rFonts w:eastAsia="標楷體" w:hint="eastAsia"/>
        </w:rPr>
        <w:t>專題討論「</w:t>
      </w:r>
      <w:r w:rsidR="00057B24" w:rsidRPr="00057B24">
        <w:rPr>
          <w:rFonts w:eastAsia="標楷體"/>
        </w:rPr>
        <w:t>Robotics and Consciousness</w:t>
      </w:r>
      <w:r w:rsidR="00057B24">
        <w:rPr>
          <w:rFonts w:eastAsia="標楷體" w:hint="eastAsia"/>
        </w:rPr>
        <w:t>」：以製作機器人的方式進行意識研究。概念如下：如果機器人利用演算法、機械結構就可以模擬人的行為到某種程度，表示那些行為並不真的需要意識即可能可以做到，這可以幫助我們探討動物、嬰孩等缺乏語言能力的生命體是否</w:t>
      </w:r>
      <w:r w:rsidR="000E3864">
        <w:rPr>
          <w:rFonts w:eastAsia="標楷體" w:hint="eastAsia"/>
        </w:rPr>
        <w:t>具</w:t>
      </w:r>
      <w:r w:rsidR="00057B24">
        <w:rPr>
          <w:rFonts w:eastAsia="標楷體" w:hint="eastAsia"/>
        </w:rPr>
        <w:t>有意識的問題；相反的可能性是，當機器人愈來愈像人時，意識就被創造出來了，而藉由這樣的創造，我們必有更大的空間可以進行意識研究。然而哲學家</w:t>
      </w:r>
      <w:r w:rsidR="00057B24" w:rsidRPr="00057B24">
        <w:rPr>
          <w:rFonts w:eastAsia="標楷體"/>
        </w:rPr>
        <w:t xml:space="preserve">Thomas </w:t>
      </w:r>
      <w:proofErr w:type="spellStart"/>
      <w:r w:rsidR="00057B24" w:rsidRPr="00057B24">
        <w:rPr>
          <w:rFonts w:eastAsia="標楷體"/>
        </w:rPr>
        <w:t>Metzinger</w:t>
      </w:r>
      <w:proofErr w:type="spellEnd"/>
      <w:r w:rsidR="00057B24">
        <w:rPr>
          <w:rFonts w:eastAsia="標楷體" w:hint="eastAsia"/>
        </w:rPr>
        <w:t>認為這樣的</w:t>
      </w:r>
      <w:proofErr w:type="gramStart"/>
      <w:r w:rsidR="00057B24">
        <w:rPr>
          <w:rFonts w:eastAsia="標楷體" w:hint="eastAsia"/>
        </w:rPr>
        <w:t>研究派典有</w:t>
      </w:r>
      <w:proofErr w:type="gramEnd"/>
      <w:r w:rsidR="00057B24">
        <w:rPr>
          <w:rFonts w:eastAsia="標楷體" w:hint="eastAsia"/>
        </w:rPr>
        <w:t>其倫理上的問題，效益主義的觀點認為，所謂道德決策應使世界上總體痛苦減少為標準，而</w:t>
      </w:r>
      <w:r w:rsidR="000E3864">
        <w:rPr>
          <w:rFonts w:eastAsia="標楷體" w:hint="eastAsia"/>
        </w:rPr>
        <w:t>製造機器人創造意識，很可能是創造痛苦的意識經驗，因此，並不應該被採納為正式合理的</w:t>
      </w:r>
      <w:proofErr w:type="gramStart"/>
      <w:r w:rsidR="000E3864">
        <w:rPr>
          <w:rFonts w:eastAsia="標楷體" w:hint="eastAsia"/>
        </w:rPr>
        <w:t>研究派典</w:t>
      </w:r>
      <w:proofErr w:type="gramEnd"/>
      <w:r w:rsidR="000E3864">
        <w:rPr>
          <w:rFonts w:eastAsia="標楷體" w:hint="eastAsia"/>
        </w:rPr>
        <w:t>。</w:t>
      </w:r>
      <w:r w:rsidR="00E13BFD">
        <w:rPr>
          <w:rFonts w:eastAsia="標楷體" w:hint="eastAsia"/>
        </w:rPr>
        <w:t>當場四位主講者於演講結束後，有了一段小小的討論，三位日本研究機器人的學者被要求對</w:t>
      </w:r>
      <w:proofErr w:type="spellStart"/>
      <w:r w:rsidR="00E13BFD">
        <w:rPr>
          <w:rFonts w:eastAsia="標楷體" w:hint="eastAsia"/>
        </w:rPr>
        <w:t>Metzinger</w:t>
      </w:r>
      <w:proofErr w:type="spellEnd"/>
      <w:r w:rsidR="00E13BFD">
        <w:rPr>
          <w:rFonts w:eastAsia="標楷體" w:hint="eastAsia"/>
        </w:rPr>
        <w:t>提出的質疑作回應，想不到其中一位日本學者</w:t>
      </w:r>
      <w:proofErr w:type="gramStart"/>
      <w:r w:rsidR="00E13BFD">
        <w:rPr>
          <w:rFonts w:eastAsia="標楷體" w:hint="eastAsia"/>
        </w:rPr>
        <w:t>竟直答</w:t>
      </w:r>
      <w:proofErr w:type="gramEnd"/>
      <w:r w:rsidR="00E13BFD">
        <w:rPr>
          <w:rFonts w:eastAsia="標楷體" w:hint="eastAsia"/>
        </w:rPr>
        <w:t>：「我就是不在乎。」使得全場譁然。顯然這個新</w:t>
      </w:r>
      <w:proofErr w:type="gramStart"/>
      <w:r w:rsidR="00E13BFD">
        <w:rPr>
          <w:rFonts w:eastAsia="標楷體" w:hint="eastAsia"/>
        </w:rPr>
        <w:t>的派典還</w:t>
      </w:r>
      <w:proofErr w:type="gramEnd"/>
      <w:r w:rsidR="00E13BFD">
        <w:rPr>
          <w:rFonts w:eastAsia="標楷體" w:hint="eastAsia"/>
        </w:rPr>
        <w:t>需要更透徹的領域間溝通。</w:t>
      </w:r>
    </w:p>
    <w:p w:rsidR="007D1F7B" w:rsidRDefault="007D1F7B" w:rsidP="007D1F7B">
      <w:p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 xml:space="preserve">　　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口頭發表</w:t>
      </w:r>
      <w:r w:rsidR="000D3EC4">
        <w:rPr>
          <w:rFonts w:eastAsia="標楷體" w:hint="eastAsia"/>
        </w:rPr>
        <w:t>「</w:t>
      </w:r>
      <w:r w:rsidR="000D3EC4" w:rsidRPr="00DF2D88">
        <w:rPr>
          <w:rFonts w:eastAsia="標楷體"/>
        </w:rPr>
        <w:t>Orienting or intention? Uncon</w:t>
      </w:r>
      <w:r w:rsidR="000D3EC4">
        <w:rPr>
          <w:rFonts w:eastAsia="標楷體"/>
        </w:rPr>
        <w:t>scious processing of human gaze</w:t>
      </w:r>
      <w:r w:rsidR="000D3EC4">
        <w:rPr>
          <w:rFonts w:eastAsia="標楷體" w:hint="eastAsia"/>
        </w:rPr>
        <w:t>」</w:t>
      </w:r>
      <w:r>
        <w:rPr>
          <w:rFonts w:eastAsia="標楷體" w:hint="eastAsia"/>
        </w:rPr>
        <w:t>被列在「</w:t>
      </w:r>
      <w:proofErr w:type="spellStart"/>
      <w:r w:rsidRPr="007D1F7B">
        <w:rPr>
          <w:rFonts w:eastAsia="標楷體"/>
        </w:rPr>
        <w:t>Blindsight</w:t>
      </w:r>
      <w:proofErr w:type="spellEnd"/>
      <w:r w:rsidRPr="007D1F7B">
        <w:rPr>
          <w:rFonts w:eastAsia="標楷體"/>
        </w:rPr>
        <w:t xml:space="preserve"> &amp; perceptual blindness</w:t>
      </w:r>
      <w:r>
        <w:rPr>
          <w:rFonts w:eastAsia="標楷體" w:hint="eastAsia"/>
        </w:rPr>
        <w:t>」主題下，發表過程還算順利，得到許多回應，也因此進行了下一步的實驗設計，對於日後投稿論文有莫大助益。很感激理學院補助經費，使得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得以參與此次會議。</w:t>
      </w:r>
    </w:p>
    <w:p w:rsidR="009174F0" w:rsidRDefault="009174F0" w:rsidP="009174F0">
      <w:pPr>
        <w:spacing w:line="360" w:lineRule="auto"/>
        <w:rPr>
          <w:rFonts w:eastAsia="標楷體" w:hint="eastAsia"/>
        </w:rPr>
      </w:pPr>
    </w:p>
    <w:p w:rsidR="009174F0" w:rsidRPr="00DF2D88" w:rsidRDefault="009174F0" w:rsidP="009174F0">
      <w:pPr>
        <w:spacing w:line="360" w:lineRule="auto"/>
        <w:rPr>
          <w:rFonts w:eastAsia="標楷體" w:hint="eastAsia"/>
          <w:b/>
          <w:u w:val="single"/>
        </w:rPr>
      </w:pPr>
      <w:r w:rsidRPr="00DF2D88">
        <w:rPr>
          <w:rFonts w:eastAsia="標楷體" w:hint="eastAsia"/>
          <w:b/>
          <w:u w:val="single"/>
        </w:rPr>
        <w:t>參考資料：</w:t>
      </w:r>
    </w:p>
    <w:p w:rsidR="00BA38CE" w:rsidRPr="00BA38CE" w:rsidRDefault="00BA38CE" w:rsidP="00BA38CE">
      <w:pPr>
        <w:spacing w:beforeLines="50"/>
        <w:ind w:left="425" w:hangingChars="177" w:hanging="425"/>
        <w:rPr>
          <w:rFonts w:eastAsia="標楷體"/>
        </w:rPr>
      </w:pPr>
      <w:proofErr w:type="gramStart"/>
      <w:r w:rsidRPr="00BA38CE">
        <w:rPr>
          <w:rFonts w:eastAsia="標楷體"/>
        </w:rPr>
        <w:t xml:space="preserve">Chen, Y. C. &amp; </w:t>
      </w:r>
      <w:proofErr w:type="spellStart"/>
      <w:r w:rsidRPr="00BA38CE">
        <w:rPr>
          <w:rFonts w:eastAsia="標楷體"/>
        </w:rPr>
        <w:t>Yeh</w:t>
      </w:r>
      <w:proofErr w:type="spellEnd"/>
      <w:r w:rsidRPr="00BA38CE">
        <w:rPr>
          <w:rFonts w:eastAsia="標楷體"/>
        </w:rPr>
        <w:t>, S. L. (2011</w:t>
      </w:r>
      <w:r>
        <w:rPr>
          <w:rFonts w:eastAsia="標楷體" w:hint="eastAsia"/>
        </w:rPr>
        <w:t>, June</w:t>
      </w:r>
      <w:r w:rsidRPr="00BA38CE">
        <w:rPr>
          <w:rFonts w:eastAsia="標楷體"/>
        </w:rPr>
        <w:t>).</w:t>
      </w:r>
      <w:proofErr w:type="gramEnd"/>
      <w:r w:rsidRPr="00BA38CE">
        <w:rPr>
          <w:rFonts w:eastAsia="標楷體"/>
        </w:rPr>
        <w:t xml:space="preserve"> </w:t>
      </w:r>
      <w:proofErr w:type="gramStart"/>
      <w:r w:rsidRPr="004140BE">
        <w:rPr>
          <w:rFonts w:eastAsia="標楷體"/>
        </w:rPr>
        <w:t>Orienting or intention?</w:t>
      </w:r>
      <w:proofErr w:type="gramEnd"/>
      <w:r w:rsidRPr="004140BE">
        <w:rPr>
          <w:rFonts w:eastAsia="標楷體"/>
        </w:rPr>
        <w:t xml:space="preserve"> </w:t>
      </w:r>
      <w:proofErr w:type="gramStart"/>
      <w:r w:rsidRPr="004140BE">
        <w:rPr>
          <w:rFonts w:eastAsia="標楷體"/>
        </w:rPr>
        <w:t>Unconscious processing of human gaze.</w:t>
      </w:r>
      <w:proofErr w:type="gramEnd"/>
      <w:r w:rsidRPr="004140BE">
        <w:rPr>
          <w:rFonts w:eastAsia="標楷體"/>
        </w:rPr>
        <w:t xml:space="preserve"> </w:t>
      </w:r>
      <w:r w:rsidRPr="00BA38CE">
        <w:rPr>
          <w:rFonts w:eastAsia="標楷體"/>
        </w:rPr>
        <w:t xml:space="preserve">Oral presented at </w:t>
      </w:r>
      <w:r w:rsidRPr="004140BE">
        <w:rPr>
          <w:rFonts w:eastAsia="標楷體"/>
          <w:i/>
        </w:rPr>
        <w:t>the 15th Annual Meeting of the Association for the Scientific Study of Consciousness</w:t>
      </w:r>
      <w:r w:rsidRPr="00BA38CE">
        <w:rPr>
          <w:rFonts w:eastAsia="標楷體"/>
        </w:rPr>
        <w:t>, Kyoto, Japan.</w:t>
      </w:r>
    </w:p>
    <w:p w:rsidR="00BA38CE" w:rsidRPr="00BA38CE" w:rsidRDefault="00BA38CE" w:rsidP="00BA38CE">
      <w:pPr>
        <w:spacing w:beforeLines="50"/>
        <w:ind w:left="425" w:hangingChars="177" w:hanging="425"/>
        <w:rPr>
          <w:rFonts w:eastAsia="標楷體"/>
        </w:rPr>
      </w:pPr>
      <w:r w:rsidRPr="00BA38CE">
        <w:rPr>
          <w:rFonts w:eastAsia="標楷體"/>
        </w:rPr>
        <w:t xml:space="preserve">Lau, H. C. (2011, June). </w:t>
      </w:r>
      <w:proofErr w:type="spellStart"/>
      <w:r w:rsidRPr="00BA38CE">
        <w:rPr>
          <w:rFonts w:eastAsia="標楷體"/>
        </w:rPr>
        <w:t>Metacognitive</w:t>
      </w:r>
      <w:proofErr w:type="spellEnd"/>
      <w:r w:rsidRPr="00BA38CE">
        <w:rPr>
          <w:rFonts w:eastAsia="標楷體"/>
        </w:rPr>
        <w:t xml:space="preserve"> judgments reflect conscious phenomenology. </w:t>
      </w:r>
      <w:proofErr w:type="gramStart"/>
      <w:r w:rsidRPr="00BA38CE">
        <w:rPr>
          <w:rFonts w:eastAsia="標楷體"/>
        </w:rPr>
        <w:lastRenderedPageBreak/>
        <w:t xml:space="preserve">In </w:t>
      </w:r>
      <w:proofErr w:type="spellStart"/>
      <w:r w:rsidRPr="00BA38CE">
        <w:rPr>
          <w:rFonts w:eastAsia="標楷體"/>
        </w:rPr>
        <w:t>Shintaro</w:t>
      </w:r>
      <w:proofErr w:type="spellEnd"/>
      <w:r w:rsidRPr="00BA38CE">
        <w:rPr>
          <w:rFonts w:eastAsia="標楷體"/>
        </w:rPr>
        <w:t xml:space="preserve">, F. &amp; Kanai, R. (Organizers), </w:t>
      </w:r>
      <w:proofErr w:type="spellStart"/>
      <w:r w:rsidRPr="00BA38CE">
        <w:rPr>
          <w:rFonts w:eastAsia="標楷體"/>
          <w:i/>
        </w:rPr>
        <w:t>Metacognition</w:t>
      </w:r>
      <w:proofErr w:type="spellEnd"/>
      <w:r w:rsidRPr="00BA38CE">
        <w:rPr>
          <w:rFonts w:eastAsia="標楷體"/>
          <w:i/>
        </w:rPr>
        <w:t xml:space="preserve"> Satellite.</w:t>
      </w:r>
      <w:proofErr w:type="gramEnd"/>
      <w:r w:rsidRPr="00BA38CE">
        <w:rPr>
          <w:rFonts w:eastAsia="標楷體"/>
        </w:rPr>
        <w:t xml:space="preserve"> Symposium conducted at </w:t>
      </w:r>
      <w:r w:rsidRPr="004140BE">
        <w:rPr>
          <w:rFonts w:eastAsia="標楷體"/>
          <w:i/>
        </w:rPr>
        <w:t>the 15th Annual Meeting of the Association for the Scientific Study of Consciousness</w:t>
      </w:r>
      <w:r w:rsidRPr="00BA38CE">
        <w:rPr>
          <w:rFonts w:eastAsia="標楷體"/>
        </w:rPr>
        <w:t>, Kyoto, Japan.</w:t>
      </w:r>
    </w:p>
    <w:p w:rsidR="00BA38CE" w:rsidRPr="00BA38CE" w:rsidRDefault="00BA38CE" w:rsidP="00BA38CE">
      <w:pPr>
        <w:spacing w:beforeLines="50"/>
        <w:ind w:left="425" w:hangingChars="177" w:hanging="425"/>
        <w:rPr>
          <w:rFonts w:eastAsia="標楷體"/>
        </w:rPr>
      </w:pPr>
      <w:proofErr w:type="gramStart"/>
      <w:r w:rsidRPr="00BA38CE">
        <w:rPr>
          <w:rFonts w:eastAsia="標楷體"/>
        </w:rPr>
        <w:t>Matsuzawa, T. (2011, June).</w:t>
      </w:r>
      <w:proofErr w:type="gramEnd"/>
      <w:r w:rsidRPr="00BA38CE">
        <w:rPr>
          <w:rFonts w:eastAsia="標楷體"/>
        </w:rPr>
        <w:t xml:space="preserve"> What is uniquely human? </w:t>
      </w:r>
      <w:proofErr w:type="gramStart"/>
      <w:r w:rsidRPr="00BA38CE">
        <w:rPr>
          <w:rFonts w:eastAsia="標楷體"/>
        </w:rPr>
        <w:t>An answer from studies of chimpanzees.</w:t>
      </w:r>
      <w:proofErr w:type="gramEnd"/>
      <w:r w:rsidRPr="00BA38CE">
        <w:rPr>
          <w:rFonts w:eastAsia="標楷體"/>
        </w:rPr>
        <w:t xml:space="preserve"> </w:t>
      </w:r>
      <w:proofErr w:type="gramStart"/>
      <w:r w:rsidRPr="00BA38CE">
        <w:rPr>
          <w:rFonts w:eastAsia="標楷體"/>
        </w:rPr>
        <w:t xml:space="preserve">In Matsumoto, K. &amp; </w:t>
      </w:r>
      <w:proofErr w:type="spellStart"/>
      <w:r w:rsidRPr="00BA38CE">
        <w:rPr>
          <w:rFonts w:eastAsia="標楷體"/>
        </w:rPr>
        <w:t>Adolphs</w:t>
      </w:r>
      <w:proofErr w:type="spellEnd"/>
      <w:r w:rsidRPr="00BA38CE">
        <w:rPr>
          <w:rFonts w:eastAsia="標楷體"/>
        </w:rPr>
        <w:t xml:space="preserve">, R. (Organizers), </w:t>
      </w:r>
      <w:r w:rsidRPr="004140BE">
        <w:rPr>
          <w:rFonts w:eastAsia="標楷體"/>
          <w:i/>
        </w:rPr>
        <w:t>Social Neuroscience Satellite</w:t>
      </w:r>
      <w:r w:rsidRPr="00BA38CE">
        <w:rPr>
          <w:rFonts w:eastAsia="標楷體"/>
        </w:rPr>
        <w:t>.</w:t>
      </w:r>
      <w:proofErr w:type="gramEnd"/>
      <w:r w:rsidRPr="00BA38CE">
        <w:rPr>
          <w:rFonts w:eastAsia="標楷體"/>
        </w:rPr>
        <w:t xml:space="preserve"> Symposium conducted at </w:t>
      </w:r>
      <w:r w:rsidRPr="004140BE">
        <w:rPr>
          <w:rFonts w:eastAsia="標楷體"/>
          <w:i/>
        </w:rPr>
        <w:t>the 15th Annual Meeting of the Association for the Scientific Study of Consciousness</w:t>
      </w:r>
      <w:r w:rsidRPr="00BA38CE">
        <w:rPr>
          <w:rFonts w:eastAsia="標楷體"/>
        </w:rPr>
        <w:t xml:space="preserve">, Kyoto, Japan. </w:t>
      </w:r>
    </w:p>
    <w:p w:rsidR="00BA38CE" w:rsidRPr="00BA38CE" w:rsidRDefault="00BA38CE" w:rsidP="00BA38CE">
      <w:pPr>
        <w:spacing w:beforeLines="50"/>
        <w:ind w:left="425" w:hangingChars="177" w:hanging="425"/>
        <w:rPr>
          <w:rFonts w:eastAsia="標楷體"/>
        </w:rPr>
      </w:pPr>
      <w:proofErr w:type="spellStart"/>
      <w:proofErr w:type="gramStart"/>
      <w:r w:rsidRPr="00BA38CE">
        <w:rPr>
          <w:rFonts w:eastAsia="標楷體"/>
        </w:rPr>
        <w:t>Metzinger</w:t>
      </w:r>
      <w:proofErr w:type="spellEnd"/>
      <w:r w:rsidRPr="00BA38CE">
        <w:rPr>
          <w:rFonts w:eastAsia="標楷體"/>
        </w:rPr>
        <w:t>, T. (2011, June).</w:t>
      </w:r>
      <w:proofErr w:type="gramEnd"/>
      <w:r w:rsidRPr="00BA38CE">
        <w:rPr>
          <w:rFonts w:eastAsia="標楷體"/>
        </w:rPr>
        <w:t xml:space="preserve"> </w:t>
      </w:r>
      <w:proofErr w:type="gramStart"/>
      <w:r w:rsidRPr="00BA38CE">
        <w:rPr>
          <w:rFonts w:eastAsia="標楷體"/>
        </w:rPr>
        <w:t>Short commentary on robotics and consciousness.</w:t>
      </w:r>
      <w:proofErr w:type="gramEnd"/>
      <w:r w:rsidRPr="00BA38CE">
        <w:rPr>
          <w:rFonts w:eastAsia="標楷體"/>
        </w:rPr>
        <w:t xml:space="preserve"> </w:t>
      </w:r>
      <w:proofErr w:type="gramStart"/>
      <w:r w:rsidRPr="00BA38CE">
        <w:rPr>
          <w:rFonts w:eastAsia="標楷體"/>
        </w:rPr>
        <w:t xml:space="preserve">In </w:t>
      </w:r>
      <w:proofErr w:type="spellStart"/>
      <w:r w:rsidRPr="00BA38CE">
        <w:rPr>
          <w:rFonts w:eastAsia="標楷體"/>
        </w:rPr>
        <w:t>Shimojo</w:t>
      </w:r>
      <w:proofErr w:type="spellEnd"/>
      <w:r w:rsidRPr="00BA38CE">
        <w:rPr>
          <w:rFonts w:eastAsia="標楷體"/>
        </w:rPr>
        <w:t xml:space="preserve">, S. (Chair), </w:t>
      </w:r>
      <w:r w:rsidRPr="004140BE">
        <w:rPr>
          <w:rFonts w:eastAsia="標楷體"/>
          <w:i/>
        </w:rPr>
        <w:t>Robotics &amp; Consciousness</w:t>
      </w:r>
      <w:r w:rsidRPr="00BA38CE">
        <w:rPr>
          <w:rFonts w:eastAsia="標楷體"/>
        </w:rPr>
        <w:t>.</w:t>
      </w:r>
      <w:proofErr w:type="gramEnd"/>
      <w:r w:rsidRPr="00BA38CE">
        <w:rPr>
          <w:rFonts w:eastAsia="標楷體"/>
        </w:rPr>
        <w:t xml:space="preserve"> Symposium conducted at </w:t>
      </w:r>
      <w:r w:rsidRPr="004140BE">
        <w:rPr>
          <w:rFonts w:eastAsia="標楷體"/>
          <w:i/>
        </w:rPr>
        <w:t>the 15th Annual Meeting of the Association for the Scientific Study of Consciousness</w:t>
      </w:r>
      <w:r w:rsidRPr="00BA38CE">
        <w:rPr>
          <w:rFonts w:eastAsia="標楷體"/>
        </w:rPr>
        <w:t xml:space="preserve">, Kyoto, Japan. </w:t>
      </w:r>
    </w:p>
    <w:p w:rsidR="00BA38CE" w:rsidRDefault="00BA38CE" w:rsidP="00BA38CE">
      <w:pPr>
        <w:spacing w:beforeLines="50"/>
        <w:ind w:left="425" w:hangingChars="177" w:hanging="425"/>
        <w:rPr>
          <w:rFonts w:eastAsia="標楷體" w:hint="eastAsia"/>
        </w:rPr>
      </w:pPr>
      <w:proofErr w:type="gramStart"/>
      <w:r w:rsidRPr="00BA38CE">
        <w:rPr>
          <w:rFonts w:eastAsia="標楷體"/>
        </w:rPr>
        <w:t xml:space="preserve">Pfeiffer, C., </w:t>
      </w:r>
      <w:proofErr w:type="spellStart"/>
      <w:r w:rsidRPr="00BA38CE">
        <w:rPr>
          <w:rFonts w:eastAsia="標楷體"/>
        </w:rPr>
        <w:t>Martuzzi</w:t>
      </w:r>
      <w:proofErr w:type="spellEnd"/>
      <w:r w:rsidRPr="00BA38CE">
        <w:rPr>
          <w:rFonts w:eastAsia="標楷體"/>
        </w:rPr>
        <w:t xml:space="preserve">, R., </w:t>
      </w:r>
      <w:proofErr w:type="spellStart"/>
      <w:r w:rsidRPr="00BA38CE">
        <w:rPr>
          <w:rFonts w:eastAsia="標楷體"/>
        </w:rPr>
        <w:t>Duenas</w:t>
      </w:r>
      <w:proofErr w:type="spellEnd"/>
      <w:r w:rsidRPr="00BA38CE">
        <w:rPr>
          <w:rFonts w:eastAsia="標楷體"/>
        </w:rPr>
        <w:t xml:space="preserve">, J., </w:t>
      </w:r>
      <w:proofErr w:type="spellStart"/>
      <w:r w:rsidRPr="00BA38CE">
        <w:rPr>
          <w:rFonts w:eastAsia="標楷體"/>
        </w:rPr>
        <w:t>Gassert</w:t>
      </w:r>
      <w:proofErr w:type="spellEnd"/>
      <w:r w:rsidRPr="00BA38CE">
        <w:rPr>
          <w:rFonts w:eastAsia="標楷體"/>
        </w:rPr>
        <w:t xml:space="preserve">, R., &amp; </w:t>
      </w:r>
      <w:proofErr w:type="spellStart"/>
      <w:r w:rsidRPr="00BA38CE">
        <w:rPr>
          <w:rFonts w:eastAsia="標楷體"/>
        </w:rPr>
        <w:t>Blanke</w:t>
      </w:r>
      <w:proofErr w:type="spellEnd"/>
      <w:r w:rsidRPr="00BA38CE">
        <w:rPr>
          <w:rFonts w:eastAsia="標楷體"/>
        </w:rPr>
        <w:t>, O. (2011</w:t>
      </w:r>
      <w:r>
        <w:rPr>
          <w:rFonts w:eastAsia="標楷體" w:hint="eastAsia"/>
        </w:rPr>
        <w:t>, June</w:t>
      </w:r>
      <w:r w:rsidRPr="00BA38CE">
        <w:rPr>
          <w:rFonts w:eastAsia="標楷體"/>
        </w:rPr>
        <w:t>).</w:t>
      </w:r>
      <w:proofErr w:type="gramEnd"/>
      <w:r w:rsidRPr="00BA38CE">
        <w:rPr>
          <w:rFonts w:eastAsia="標楷體"/>
        </w:rPr>
        <w:t xml:space="preserve"> Upside Down: Visual-vestibular conflict induces illusory changes in the experienced direction of the first-person perspective. Oral presented at </w:t>
      </w:r>
      <w:r w:rsidRPr="004140BE">
        <w:rPr>
          <w:rFonts w:eastAsia="標楷體"/>
          <w:i/>
        </w:rPr>
        <w:t>the 15th Annual Meeting of the Association for the Scientific Study of Consciousness</w:t>
      </w:r>
      <w:r w:rsidRPr="00BA38CE">
        <w:rPr>
          <w:rFonts w:eastAsia="標楷體"/>
        </w:rPr>
        <w:t>, Kyoto, Japan.</w:t>
      </w:r>
    </w:p>
    <w:p w:rsidR="009174F0" w:rsidRPr="007D1F7B" w:rsidRDefault="009174F0" w:rsidP="007D1F7B">
      <w:pPr>
        <w:spacing w:line="360" w:lineRule="auto"/>
        <w:rPr>
          <w:rFonts w:eastAsia="標楷體"/>
        </w:rPr>
      </w:pPr>
    </w:p>
    <w:p w:rsidR="00E4496A" w:rsidRPr="00E4496A" w:rsidRDefault="00422383" w:rsidP="007D1F7B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noProof/>
        </w:rPr>
        <w:pict>
          <v:rect id="_x0000_s1028" style="position:absolute;left:0;text-align:left;margin-left:97.5pt;margin-top:7.5pt;width:316.5pt;height:12.75pt;z-index:-251656192" fillcolor="#8064a2" stroked="f" strokecolor="#f2f2f2 [3041]" strokeweight="1pt">
            <v:fill opacity="15073f" color2="#3f3151 [1607]"/>
            <v:shadow type="perspective" color="#ccc0d9 [1303]" opacity=".5" origin=",.5" offset="0,0" matrix=",-56756f,,.5"/>
          </v:rect>
        </w:pict>
      </w:r>
      <w:r w:rsidR="00E4496A">
        <w:rPr>
          <w:rFonts w:eastAsia="標楷體" w:hint="eastAsia"/>
          <w:b/>
          <w:sz w:val="36"/>
          <w:szCs w:val="36"/>
        </w:rPr>
        <w:t>三</w:t>
      </w:r>
      <w:r w:rsidR="00E4496A" w:rsidRPr="00E4496A">
        <w:rPr>
          <w:rFonts w:eastAsia="標楷體" w:hint="eastAsia"/>
          <w:b/>
          <w:sz w:val="36"/>
          <w:szCs w:val="36"/>
        </w:rPr>
        <w:t>、建議</w:t>
      </w:r>
    </w:p>
    <w:p w:rsidR="00E4496A" w:rsidRDefault="007D1F7B" w:rsidP="007D1F7B">
      <w:pPr>
        <w:spacing w:line="360" w:lineRule="auto"/>
        <w:rPr>
          <w:rFonts w:eastAsia="標楷體" w:hint="eastAsia"/>
        </w:rPr>
      </w:pPr>
      <w:r>
        <w:rPr>
          <w:rFonts w:eastAsia="標楷體" w:hint="eastAsia"/>
        </w:rPr>
        <w:t xml:space="preserve">　　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的情況其實較為少見，是大學生參與國際會議，在申請經費補助得過程中，就發現許多限制：出席國際會議主要的補助經費來源有國科會、教育部和各校院系所單位，其中國科會、教育部都沒有補助大學生出國開會的部分，因此只能向理學院申請經費。此次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相當幸運，會議地點是離臺灣距離不遠的日本，因此一萬五千元台幣的補助尚可負擔機票費用，且大會願意補助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四萬日幣，使得</w:t>
      </w:r>
      <w:r w:rsidR="005313E7">
        <w:rPr>
          <w:rFonts w:eastAsia="標楷體" w:hint="eastAsia"/>
        </w:rPr>
        <w:t>筆者</w:t>
      </w:r>
      <w:r w:rsidR="00EC592F">
        <w:rPr>
          <w:rFonts w:eastAsia="標楷體" w:hint="eastAsia"/>
        </w:rPr>
        <w:t>不至於因經濟困難無法參加會議。然而若會議地點稍遠，想必這樣的補助額度以大學生的經濟能力，是不足夠的。</w:t>
      </w:r>
    </w:p>
    <w:p w:rsidR="00EC592F" w:rsidRPr="00E4496A" w:rsidRDefault="00EC592F" w:rsidP="007D1F7B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 xml:space="preserve">　　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私以為補助大學生參與國際會議是相當有價值的投資，由於大學生有機會能夠發表研究成果其實相當難得，在這樣的國際會議中，視野大開，對其未來發展，相信是有其份量，也有鼓勵學術研究的作用。因此，</w:t>
      </w:r>
      <w:r w:rsidR="005313E7">
        <w:rPr>
          <w:rFonts w:eastAsia="標楷體" w:hint="eastAsia"/>
        </w:rPr>
        <w:t>筆者</w:t>
      </w:r>
      <w:r>
        <w:rPr>
          <w:rFonts w:eastAsia="標楷體" w:hint="eastAsia"/>
        </w:rPr>
        <w:t>建議</w:t>
      </w:r>
      <w:r w:rsidR="007E267D">
        <w:rPr>
          <w:rFonts w:eastAsia="標楷體" w:hint="eastAsia"/>
        </w:rPr>
        <w:t>理學院等單位</w:t>
      </w:r>
      <w:r>
        <w:rPr>
          <w:rFonts w:eastAsia="標楷體" w:hint="eastAsia"/>
        </w:rPr>
        <w:t>對大學生</w:t>
      </w:r>
      <w:r w:rsidR="007E267D">
        <w:rPr>
          <w:rFonts w:eastAsia="標楷體" w:hint="eastAsia"/>
        </w:rPr>
        <w:t>出席國際會議的</w:t>
      </w:r>
      <w:r>
        <w:rPr>
          <w:rFonts w:eastAsia="標楷體" w:hint="eastAsia"/>
        </w:rPr>
        <w:t>經費</w:t>
      </w:r>
      <w:r w:rsidR="007E267D">
        <w:rPr>
          <w:rFonts w:eastAsia="標楷體" w:hint="eastAsia"/>
        </w:rPr>
        <w:t>補助能夠更加支持。</w:t>
      </w:r>
    </w:p>
    <w:p w:rsidR="00CF79E3" w:rsidRDefault="00CF79E3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4496A" w:rsidRPr="00E4496A" w:rsidRDefault="00422383" w:rsidP="007D1F7B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noProof/>
        </w:rPr>
        <w:lastRenderedPageBreak/>
        <w:pict>
          <v:rect id="_x0000_s1029" style="position:absolute;left:0;text-align:left;margin-left:97.5pt;margin-top:6pt;width:316.5pt;height:12.75pt;z-index:-251655168" fillcolor="#8064a2" stroked="f" strokecolor="#f2f2f2 [3041]" strokeweight="1pt">
            <v:fill opacity="15073f" color2="#3f3151 [1607]"/>
            <v:shadow type="perspective" color="#ccc0d9 [1303]" opacity=".5" origin=",.5" offset="0,0" matrix=",-56756f,,.5"/>
          </v:rect>
        </w:pict>
      </w:r>
      <w:r w:rsidR="00E4496A">
        <w:rPr>
          <w:rFonts w:eastAsia="標楷體" w:hint="eastAsia"/>
          <w:b/>
          <w:sz w:val="36"/>
          <w:szCs w:val="36"/>
        </w:rPr>
        <w:t>四</w:t>
      </w:r>
      <w:r w:rsidR="00E4496A" w:rsidRPr="00E4496A">
        <w:rPr>
          <w:rFonts w:eastAsia="標楷體" w:hint="eastAsia"/>
          <w:b/>
          <w:sz w:val="36"/>
          <w:szCs w:val="36"/>
        </w:rPr>
        <w:t>、攜回資料名稱及內容</w:t>
      </w:r>
    </w:p>
    <w:p w:rsidR="00E4496A" w:rsidRPr="00AD6E44" w:rsidRDefault="006751E6" w:rsidP="00AD6E44">
      <w:pPr>
        <w:pStyle w:val="aa"/>
        <w:numPr>
          <w:ilvl w:val="0"/>
          <w:numId w:val="2"/>
        </w:numPr>
        <w:ind w:left="482" w:hanging="482"/>
        <w:rPr>
          <w:rFonts w:ascii="Times New Roman" w:eastAsia="標楷體" w:hAnsi="Times New Roman" w:cs="Times New Roman" w:hint="eastAsia"/>
        </w:rPr>
      </w:pPr>
      <w:r w:rsidRPr="00AD6E44">
        <w:rPr>
          <w:rFonts w:ascii="Times New Roman" w:hAnsi="Times New Roman" w:cs="Times New Roman"/>
          <w:iCs/>
          <w:sz w:val="23"/>
          <w:szCs w:val="23"/>
        </w:rPr>
        <w:t>The 15th Annual Meeting of the Association for the Scientific Study of Consciousness.</w:t>
      </w:r>
      <w:r>
        <w:rPr>
          <w:rFonts w:ascii="Times New Roman" w:hAnsi="Times New Roman" w:cs="Times New Roman" w:hint="eastAsia"/>
          <w:iCs/>
          <w:sz w:val="23"/>
          <w:szCs w:val="23"/>
        </w:rPr>
        <w:t xml:space="preserve"> (2011) </w:t>
      </w:r>
      <w:r w:rsidR="00422383" w:rsidRPr="006751E6">
        <w:rPr>
          <w:rFonts w:ascii="Times New Roman" w:hAnsi="Times New Roman" w:cs="Times New Roman"/>
          <w:i/>
          <w:iCs/>
          <w:sz w:val="23"/>
          <w:szCs w:val="23"/>
        </w:rPr>
        <w:t>Program and Summary of the ASSC15</w:t>
      </w:r>
      <w:r>
        <w:rPr>
          <w:rFonts w:ascii="Times New Roman" w:hAnsi="Times New Roman" w:cs="Times New Roman" w:hint="eastAsia"/>
          <w:iCs/>
          <w:sz w:val="23"/>
          <w:szCs w:val="23"/>
        </w:rPr>
        <w:t xml:space="preserve">. </w:t>
      </w:r>
    </w:p>
    <w:p w:rsidR="00AD6E44" w:rsidRPr="00AD6E44" w:rsidRDefault="00AD6E44" w:rsidP="00AD6E44">
      <w:pPr>
        <w:pStyle w:val="aa"/>
        <w:numPr>
          <w:ilvl w:val="0"/>
          <w:numId w:val="2"/>
        </w:numPr>
        <w:ind w:left="482" w:hanging="482"/>
        <w:rPr>
          <w:rFonts w:ascii="Times New Roman" w:hAnsi="Times New Roman" w:cs="Times New Roman"/>
          <w:iCs/>
          <w:sz w:val="23"/>
          <w:szCs w:val="23"/>
        </w:rPr>
      </w:pPr>
      <w:r w:rsidRPr="00AD6E44">
        <w:rPr>
          <w:rFonts w:ascii="Times New Roman" w:hAnsi="Times New Roman" w:cs="Times New Roman"/>
          <w:iCs/>
          <w:sz w:val="23"/>
          <w:szCs w:val="23"/>
        </w:rPr>
        <w:t xml:space="preserve">Matsuzawa, T., </w:t>
      </w:r>
      <w:proofErr w:type="spellStart"/>
      <w:r w:rsidRPr="00AD6E44">
        <w:rPr>
          <w:rFonts w:ascii="Times New Roman" w:hAnsi="Times New Roman" w:cs="Times New Roman"/>
          <w:iCs/>
          <w:sz w:val="23"/>
          <w:szCs w:val="23"/>
        </w:rPr>
        <w:t>Humle</w:t>
      </w:r>
      <w:proofErr w:type="spellEnd"/>
      <w:r w:rsidRPr="00AD6E44">
        <w:rPr>
          <w:rFonts w:ascii="Times New Roman" w:hAnsi="Times New Roman" w:cs="Times New Roman"/>
          <w:iCs/>
          <w:sz w:val="23"/>
          <w:szCs w:val="23"/>
        </w:rPr>
        <w:t xml:space="preserve">, T., Sugiyama, Y. (2011). </w:t>
      </w:r>
      <w:r w:rsidRPr="00AD6E44">
        <w:rPr>
          <w:rFonts w:ascii="Times New Roman" w:hAnsi="Times New Roman" w:cs="Times New Roman"/>
          <w:i/>
          <w:iCs/>
          <w:sz w:val="23"/>
          <w:szCs w:val="23"/>
        </w:rPr>
        <w:t xml:space="preserve">The Chimpanzees of </w:t>
      </w:r>
      <w:proofErr w:type="spellStart"/>
      <w:r w:rsidRPr="00AD6E44">
        <w:rPr>
          <w:rFonts w:ascii="Times New Roman" w:hAnsi="Times New Roman" w:cs="Times New Roman"/>
          <w:i/>
          <w:iCs/>
          <w:sz w:val="23"/>
          <w:szCs w:val="23"/>
        </w:rPr>
        <w:t>Bossou</w:t>
      </w:r>
      <w:proofErr w:type="spellEnd"/>
      <w:r w:rsidRPr="00AD6E44">
        <w:rPr>
          <w:rFonts w:ascii="Times New Roman" w:hAnsi="Times New Roman" w:cs="Times New Roman"/>
          <w:i/>
          <w:iCs/>
          <w:sz w:val="23"/>
          <w:szCs w:val="23"/>
        </w:rPr>
        <w:t xml:space="preserve"> and </w:t>
      </w:r>
      <w:proofErr w:type="spellStart"/>
      <w:r w:rsidRPr="00AD6E44">
        <w:rPr>
          <w:rFonts w:ascii="Times New Roman" w:hAnsi="Times New Roman" w:cs="Times New Roman"/>
          <w:i/>
          <w:iCs/>
          <w:sz w:val="23"/>
          <w:szCs w:val="23"/>
        </w:rPr>
        <w:t>Nimba</w:t>
      </w:r>
      <w:proofErr w:type="spellEnd"/>
      <w:r w:rsidRPr="00AD6E44">
        <w:rPr>
          <w:rFonts w:ascii="Times New Roman" w:hAnsi="Times New Roman" w:cs="Times New Roman"/>
          <w:i/>
          <w:iCs/>
          <w:sz w:val="23"/>
          <w:szCs w:val="23"/>
        </w:rPr>
        <w:t>.</w:t>
      </w:r>
      <w:r w:rsidRPr="00AD6E44">
        <w:rPr>
          <w:rFonts w:ascii="Times New Roman" w:hAnsi="Times New Roman" w:cs="Times New Roman"/>
          <w:iCs/>
          <w:sz w:val="23"/>
          <w:szCs w:val="23"/>
        </w:rPr>
        <w:t xml:space="preserve"> Japan: Springer-</w:t>
      </w:r>
      <w:proofErr w:type="spellStart"/>
      <w:r w:rsidRPr="00AD6E44">
        <w:rPr>
          <w:rFonts w:ascii="Times New Roman" w:hAnsi="Times New Roman" w:cs="Times New Roman"/>
          <w:iCs/>
          <w:sz w:val="23"/>
          <w:szCs w:val="23"/>
        </w:rPr>
        <w:t>Verlag</w:t>
      </w:r>
      <w:proofErr w:type="spellEnd"/>
      <w:r w:rsidRPr="00AD6E44">
        <w:rPr>
          <w:rFonts w:ascii="Times New Roman" w:hAnsi="Times New Roman" w:cs="Times New Roman"/>
          <w:iCs/>
          <w:sz w:val="23"/>
          <w:szCs w:val="23"/>
        </w:rPr>
        <w:t>.</w:t>
      </w:r>
    </w:p>
    <w:p w:rsidR="00E4496A" w:rsidRPr="00E4496A" w:rsidRDefault="00E4496A" w:rsidP="007D1F7B">
      <w:pPr>
        <w:spacing w:line="360" w:lineRule="auto"/>
        <w:rPr>
          <w:rFonts w:eastAsia="標楷體"/>
        </w:rPr>
      </w:pPr>
    </w:p>
    <w:p w:rsidR="00E4496A" w:rsidRPr="00E4496A" w:rsidRDefault="00422383" w:rsidP="007D1F7B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noProof/>
        </w:rPr>
        <w:pict>
          <v:rect id="_x0000_s1030" style="position:absolute;left:0;text-align:left;margin-left:97.5pt;margin-top:6.75pt;width:316.5pt;height:12.75pt;z-index:-251654144" fillcolor="#8064a2" stroked="f" strokecolor="#f2f2f2 [3041]" strokeweight="1pt">
            <v:fill opacity="15073f" color2="#3f3151 [1607]"/>
            <v:shadow type="perspective" color="#ccc0d9 [1303]" opacity=".5" origin=",.5" offset="0,0" matrix=",-56756f,,.5"/>
          </v:rect>
        </w:pict>
      </w:r>
      <w:r w:rsidR="00E4496A">
        <w:rPr>
          <w:rFonts w:eastAsia="標楷體" w:hint="eastAsia"/>
          <w:b/>
          <w:sz w:val="36"/>
          <w:szCs w:val="36"/>
        </w:rPr>
        <w:t>五</w:t>
      </w:r>
      <w:r w:rsidR="00E4496A" w:rsidRPr="00E4496A">
        <w:rPr>
          <w:rFonts w:eastAsia="標楷體" w:hint="eastAsia"/>
          <w:b/>
          <w:sz w:val="36"/>
          <w:szCs w:val="36"/>
        </w:rPr>
        <w:t>、其他</w:t>
      </w:r>
    </w:p>
    <w:p w:rsidR="00E4496A" w:rsidRPr="00DF2D88" w:rsidRDefault="00DF2D88" w:rsidP="007D1F7B">
      <w:pPr>
        <w:spacing w:line="360" w:lineRule="auto"/>
        <w:rPr>
          <w:rFonts w:eastAsia="標楷體" w:hint="eastAsia"/>
          <w:b/>
        </w:rPr>
      </w:pPr>
      <w:r>
        <w:rPr>
          <w:rFonts w:eastAsia="標楷體" w:hint="eastAsia"/>
          <w:b/>
        </w:rPr>
        <w:t>(</w:t>
      </w:r>
      <w:r w:rsidRPr="00DF2D88">
        <w:rPr>
          <w:rFonts w:eastAsia="標楷體" w:hint="eastAsia"/>
          <w:b/>
        </w:rPr>
        <w:t>A</w:t>
      </w:r>
      <w:r>
        <w:rPr>
          <w:rFonts w:eastAsia="標楷體" w:hint="eastAsia"/>
          <w:b/>
        </w:rPr>
        <w:t xml:space="preserve">) </w:t>
      </w:r>
      <w:r w:rsidR="00E908D9" w:rsidRPr="00DF2D88">
        <w:rPr>
          <w:rFonts w:eastAsia="標楷體" w:hint="eastAsia"/>
          <w:b/>
        </w:rPr>
        <w:t>發表資料</w:t>
      </w:r>
    </w:p>
    <w:p w:rsidR="00DF2D88" w:rsidRDefault="00DF2D88" w:rsidP="00DF2D88">
      <w:pPr>
        <w:ind w:left="425" w:hangingChars="177" w:hanging="425"/>
        <w:rPr>
          <w:rFonts w:eastAsia="標楷體" w:hint="eastAsia"/>
        </w:rPr>
      </w:pPr>
      <w:proofErr w:type="gramStart"/>
      <w:r w:rsidRPr="00DF2D88">
        <w:rPr>
          <w:rFonts w:eastAsia="標楷體"/>
        </w:rPr>
        <w:t xml:space="preserve">Chen, Y. C. &amp; </w:t>
      </w:r>
      <w:proofErr w:type="spellStart"/>
      <w:r w:rsidRPr="00DF2D88">
        <w:rPr>
          <w:rFonts w:eastAsia="標楷體"/>
        </w:rPr>
        <w:t>Yeh</w:t>
      </w:r>
      <w:proofErr w:type="spellEnd"/>
      <w:r w:rsidRPr="00DF2D88">
        <w:rPr>
          <w:rFonts w:eastAsia="標楷體"/>
        </w:rPr>
        <w:t>, S. L. (2011) Orienting or intention?</w:t>
      </w:r>
      <w:proofErr w:type="gramEnd"/>
      <w:r w:rsidRPr="00DF2D88">
        <w:rPr>
          <w:rFonts w:eastAsia="標楷體"/>
        </w:rPr>
        <w:t xml:space="preserve"> </w:t>
      </w:r>
      <w:proofErr w:type="gramStart"/>
      <w:r w:rsidRPr="00DF2D88">
        <w:rPr>
          <w:rFonts w:eastAsia="標楷體"/>
        </w:rPr>
        <w:t>Unconscious processing of human gaze.</w:t>
      </w:r>
      <w:proofErr w:type="gramEnd"/>
      <w:r w:rsidRPr="00DF2D88">
        <w:rPr>
          <w:rFonts w:eastAsia="標楷體"/>
        </w:rPr>
        <w:t xml:space="preserve"> </w:t>
      </w:r>
      <w:proofErr w:type="gramStart"/>
      <w:r w:rsidRPr="00DF2D88">
        <w:rPr>
          <w:rFonts w:eastAsia="標楷體"/>
          <w:i/>
        </w:rPr>
        <w:t>The 15th Annual Meeting of the Association for the Scientific Study of Consciousness.</w:t>
      </w:r>
      <w:proofErr w:type="gramEnd"/>
      <w:r w:rsidRPr="00DF2D88">
        <w:rPr>
          <w:rFonts w:eastAsia="標楷體"/>
        </w:rPr>
        <w:t xml:space="preserve"> Kyoto, Japan.</w:t>
      </w:r>
    </w:p>
    <w:p w:rsidR="00DF2D88" w:rsidRDefault="00DF2D88" w:rsidP="007D1F7B">
      <w:pPr>
        <w:spacing w:line="360" w:lineRule="auto"/>
        <w:rPr>
          <w:rFonts w:eastAsia="標楷體" w:hint="eastAsia"/>
          <w:b/>
        </w:rPr>
      </w:pPr>
    </w:p>
    <w:p w:rsidR="00E908D9" w:rsidRPr="00DF2D88" w:rsidRDefault="00DF2D88" w:rsidP="007D1F7B">
      <w:pPr>
        <w:spacing w:line="360" w:lineRule="auto"/>
        <w:rPr>
          <w:rFonts w:eastAsia="標楷體"/>
          <w:b/>
        </w:rPr>
      </w:pPr>
      <w:r>
        <w:rPr>
          <w:rFonts w:eastAsia="標楷體" w:hint="eastAsia"/>
          <w:b/>
        </w:rPr>
        <w:t>(</w:t>
      </w:r>
      <w:r w:rsidRPr="00DF2D88">
        <w:rPr>
          <w:rFonts w:eastAsia="標楷體" w:hint="eastAsia"/>
          <w:b/>
        </w:rPr>
        <w:t>B</w:t>
      </w:r>
      <w:r>
        <w:rPr>
          <w:rFonts w:eastAsia="標楷體" w:hint="eastAsia"/>
          <w:b/>
        </w:rPr>
        <w:t xml:space="preserve">) </w:t>
      </w:r>
      <w:r w:rsidR="00E908D9" w:rsidRPr="00DF2D88">
        <w:rPr>
          <w:rFonts w:eastAsia="標楷體" w:hint="eastAsia"/>
          <w:b/>
        </w:rPr>
        <w:t>留影</w:t>
      </w:r>
    </w:p>
    <w:p w:rsidR="00E4496A" w:rsidRDefault="00E4496A" w:rsidP="00DF2D88">
      <w:pPr>
        <w:tabs>
          <w:tab w:val="left" w:pos="915"/>
        </w:tabs>
        <w:rPr>
          <w:rFonts w:eastAsia="標楷體" w:hint="eastAsia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1"/>
        <w:gridCol w:w="4291"/>
      </w:tblGrid>
      <w:tr w:rsidR="007A4CF9" w:rsidTr="00CF79E3">
        <w:tc>
          <w:tcPr>
            <w:tcW w:w="4276" w:type="dxa"/>
          </w:tcPr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51468" cy="1914525"/>
                  <wp:effectExtent l="19050" t="0" r="1232" b="0"/>
                  <wp:docPr id="6" name="圖片 2" descr="D:\YCC\photos\mine\台大時空\ASSC15\IMG_0386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YCC\photos\mine\台大時空\ASSC15\IMG_0386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546" cy="1923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Pr="007A4CF9" w:rsidRDefault="007A4CF9" w:rsidP="007A4CF9">
            <w:pPr>
              <w:tabs>
                <w:tab w:val="left" w:pos="915"/>
              </w:tabs>
              <w:jc w:val="center"/>
              <w:rPr>
                <w:rFonts w:hint="eastAsia"/>
              </w:rPr>
            </w:pPr>
            <w:r>
              <w:rPr>
                <w:rFonts w:eastAsia="標楷體" w:hint="eastAsia"/>
              </w:rPr>
              <w:t>會議場地：</w:t>
            </w:r>
            <w:r>
              <w:t>The Clock Tower</w:t>
            </w:r>
          </w:p>
        </w:tc>
        <w:tc>
          <w:tcPr>
            <w:tcW w:w="4246" w:type="dxa"/>
          </w:tcPr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38777" cy="1905000"/>
                  <wp:effectExtent l="19050" t="0" r="0" b="0"/>
                  <wp:docPr id="8" name="圖片 3" descr="D:\YCC\photos\mine\台大時空\ASSC15\IMG_0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YCC\photos\mine\台大時空\ASSC15\IMG_0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395" cy="1912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會議大廳：</w:t>
            </w:r>
            <w:r>
              <w:t>Centennial Hall</w:t>
            </w:r>
          </w:p>
        </w:tc>
      </w:tr>
      <w:tr w:rsidR="007A4CF9" w:rsidTr="00CF79E3">
        <w:tc>
          <w:tcPr>
            <w:tcW w:w="4276" w:type="dxa"/>
          </w:tcPr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509706" cy="3344661"/>
                  <wp:effectExtent l="19050" t="0" r="4894" b="0"/>
                  <wp:docPr id="9" name="圖片 4" descr="D:\YCC\photos\mine\台大時空\ASSC15\IMG_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YCC\photos\mine\台大時空\ASSC15\IMG_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0000" contrast="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380" cy="33548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海報</w:t>
            </w:r>
          </w:p>
        </w:tc>
        <w:tc>
          <w:tcPr>
            <w:tcW w:w="4246" w:type="dxa"/>
          </w:tcPr>
          <w:p w:rsidR="00CF79E3" w:rsidRDefault="00CF79E3" w:rsidP="00CF79E3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90800" cy="3454402"/>
                  <wp:effectExtent l="19050" t="0" r="0" b="0"/>
                  <wp:docPr id="20" name="圖片 10" descr="H:\P113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:\P113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392" cy="3461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Default="00CF79E3" w:rsidP="00CF79E3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筆者（右）聽取海報講解</w:t>
            </w:r>
          </w:p>
        </w:tc>
      </w:tr>
      <w:tr w:rsidR="007A4CF9" w:rsidTr="00CF79E3">
        <w:tc>
          <w:tcPr>
            <w:tcW w:w="4276" w:type="dxa"/>
          </w:tcPr>
          <w:p w:rsidR="00CF79E3" w:rsidRDefault="00CF79E3" w:rsidP="00CF79E3">
            <w:pPr>
              <w:tabs>
                <w:tab w:val="left" w:pos="915"/>
              </w:tabs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08094" cy="1876425"/>
                  <wp:effectExtent l="19050" t="0" r="6506" b="0"/>
                  <wp:docPr id="21" name="圖片 9" descr="H:\P1130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:\P1130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781" cy="187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Default="00CF79E3" w:rsidP="00CF79E3">
            <w:pPr>
              <w:tabs>
                <w:tab w:val="left" w:pos="915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海報發表現場</w:t>
            </w:r>
          </w:p>
        </w:tc>
        <w:tc>
          <w:tcPr>
            <w:tcW w:w="4246" w:type="dxa"/>
          </w:tcPr>
          <w:p w:rsidR="007A4CF9" w:rsidRDefault="007A4CF9" w:rsidP="00DF2D88">
            <w:pPr>
              <w:tabs>
                <w:tab w:val="left" w:pos="915"/>
              </w:tabs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>
                  <wp:extent cx="2563855" cy="1924050"/>
                  <wp:effectExtent l="19050" t="0" r="7895" b="0"/>
                  <wp:docPr id="12" name="圖片 6" descr="D:\YCC\photos\mine\台大時空\ASSC15\IMG_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YCC\photos\mine\台大時空\ASSC15\IMG_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3855" cy="1924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CF9" w:rsidRDefault="007A4CF9" w:rsidP="007A4CF9">
            <w:pPr>
              <w:tabs>
                <w:tab w:val="left" w:pos="915"/>
              </w:tabs>
              <w:jc w:val="center"/>
              <w:rPr>
                <w:rFonts w:eastAsia="標楷體" w:hint="eastAsia"/>
                <w:noProof/>
              </w:rPr>
            </w:pPr>
            <w:r>
              <w:rPr>
                <w:rFonts w:eastAsia="標楷體" w:hint="eastAsia"/>
              </w:rPr>
              <w:t>會議</w:t>
            </w:r>
            <w:proofErr w:type="gramStart"/>
            <w:r>
              <w:rPr>
                <w:rFonts w:eastAsia="標楷體" w:hint="eastAsia"/>
              </w:rPr>
              <w:t>結束後布幕</w:t>
            </w:r>
            <w:proofErr w:type="gramEnd"/>
            <w:r>
              <w:rPr>
                <w:rFonts w:eastAsia="標楷體" w:hint="eastAsia"/>
              </w:rPr>
              <w:t>拉起</w:t>
            </w:r>
          </w:p>
        </w:tc>
      </w:tr>
    </w:tbl>
    <w:p w:rsidR="00EE01E3" w:rsidRPr="00DF2D88" w:rsidRDefault="00EE01E3" w:rsidP="00DF2D88">
      <w:pPr>
        <w:tabs>
          <w:tab w:val="left" w:pos="915"/>
        </w:tabs>
        <w:rPr>
          <w:rFonts w:eastAsia="標楷體"/>
        </w:rPr>
      </w:pPr>
    </w:p>
    <w:sectPr w:rsidR="00EE01E3" w:rsidRPr="00DF2D88" w:rsidSect="009C22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57" w:rsidRDefault="00C01F57" w:rsidP="002D66FE">
      <w:r>
        <w:separator/>
      </w:r>
    </w:p>
  </w:endnote>
  <w:endnote w:type="continuationSeparator" w:id="0">
    <w:p w:rsidR="00C01F57" w:rsidRDefault="00C01F57" w:rsidP="002D6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57" w:rsidRDefault="00C01F57" w:rsidP="002D66FE">
      <w:r>
        <w:separator/>
      </w:r>
    </w:p>
  </w:footnote>
  <w:footnote w:type="continuationSeparator" w:id="0">
    <w:p w:rsidR="00C01F57" w:rsidRDefault="00C01F57" w:rsidP="002D6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DA028E3"/>
    <w:multiLevelType w:val="hybridMultilevel"/>
    <w:tmpl w:val="9AB6D7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>
      <o:colormru v:ext="edit" colors="#8064a2"/>
      <o:colormenu v:ext="edit" fillcolor="#8064a2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96A"/>
    <w:rsid w:val="000074EE"/>
    <w:rsid w:val="000264F2"/>
    <w:rsid w:val="00057B24"/>
    <w:rsid w:val="000D3EC4"/>
    <w:rsid w:val="000E3864"/>
    <w:rsid w:val="000F0490"/>
    <w:rsid w:val="00163F94"/>
    <w:rsid w:val="00197DD1"/>
    <w:rsid w:val="00211488"/>
    <w:rsid w:val="00242F90"/>
    <w:rsid w:val="00245C78"/>
    <w:rsid w:val="002D66FE"/>
    <w:rsid w:val="004140BE"/>
    <w:rsid w:val="00422383"/>
    <w:rsid w:val="004A7496"/>
    <w:rsid w:val="004B44A3"/>
    <w:rsid w:val="005313E7"/>
    <w:rsid w:val="005669DB"/>
    <w:rsid w:val="00577D92"/>
    <w:rsid w:val="005C18CB"/>
    <w:rsid w:val="006751E6"/>
    <w:rsid w:val="006B7249"/>
    <w:rsid w:val="006D2340"/>
    <w:rsid w:val="0074601B"/>
    <w:rsid w:val="007A4CF9"/>
    <w:rsid w:val="007D1F7B"/>
    <w:rsid w:val="007E267D"/>
    <w:rsid w:val="008576CB"/>
    <w:rsid w:val="009174F0"/>
    <w:rsid w:val="009C2208"/>
    <w:rsid w:val="00A226B8"/>
    <w:rsid w:val="00A55D91"/>
    <w:rsid w:val="00AA2F0E"/>
    <w:rsid w:val="00AD6E44"/>
    <w:rsid w:val="00AE645F"/>
    <w:rsid w:val="00B66CC0"/>
    <w:rsid w:val="00B86A5E"/>
    <w:rsid w:val="00BA38CE"/>
    <w:rsid w:val="00C01F57"/>
    <w:rsid w:val="00C66ED4"/>
    <w:rsid w:val="00C81CE4"/>
    <w:rsid w:val="00C824F6"/>
    <w:rsid w:val="00C87368"/>
    <w:rsid w:val="00CF79E3"/>
    <w:rsid w:val="00D45851"/>
    <w:rsid w:val="00D45FA2"/>
    <w:rsid w:val="00D54583"/>
    <w:rsid w:val="00DB5742"/>
    <w:rsid w:val="00DF2D88"/>
    <w:rsid w:val="00E13BFD"/>
    <w:rsid w:val="00E4496A"/>
    <w:rsid w:val="00E53168"/>
    <w:rsid w:val="00E908D9"/>
    <w:rsid w:val="00EC592F"/>
    <w:rsid w:val="00EE01E3"/>
    <w:rsid w:val="00F8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#8064a2"/>
      <o:colormenu v:ext="edit" fillcolor="#8064a2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96A"/>
    <w:pPr>
      <w:widowControl w:val="0"/>
    </w:pPr>
    <w:rPr>
      <w:rFonts w:eastAsia="新細明體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211488"/>
    <w:pPr>
      <w:keepNext/>
      <w:spacing w:line="240" w:lineRule="exact"/>
      <w:jc w:val="center"/>
      <w:outlineLvl w:val="0"/>
    </w:pPr>
    <w:rPr>
      <w:rFonts w:eastAsia="標楷體"/>
      <w:sz w:val="28"/>
      <w:shd w:val="clear" w:color="auto" w:fill="D8D8D8"/>
    </w:rPr>
  </w:style>
  <w:style w:type="paragraph" w:styleId="7">
    <w:name w:val="heading 7"/>
    <w:basedOn w:val="a"/>
    <w:link w:val="70"/>
    <w:uiPriority w:val="9"/>
    <w:qFormat/>
    <w:rsid w:val="00211488"/>
    <w:pPr>
      <w:widowControl/>
      <w:spacing w:before="100" w:beforeAutospacing="1" w:after="100" w:afterAutospacing="1"/>
      <w:outlineLvl w:val="6"/>
    </w:pPr>
    <w:rPr>
      <w:rFonts w:ascii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11488"/>
    <w:rPr>
      <w:rFonts w:eastAsia="標楷體"/>
      <w:kern w:val="1"/>
      <w:sz w:val="28"/>
      <w:szCs w:val="24"/>
      <w:lang w:eastAsia="ar-SA"/>
    </w:rPr>
  </w:style>
  <w:style w:type="paragraph" w:styleId="a3">
    <w:name w:val="caption"/>
    <w:basedOn w:val="a"/>
    <w:next w:val="a"/>
    <w:qFormat/>
    <w:rsid w:val="00211488"/>
    <w:pPr>
      <w:spacing w:before="120" w:after="120"/>
    </w:pPr>
    <w:rPr>
      <w:sz w:val="20"/>
      <w:szCs w:val="20"/>
    </w:rPr>
  </w:style>
  <w:style w:type="paragraph" w:styleId="a4">
    <w:name w:val="Title"/>
    <w:basedOn w:val="a"/>
    <w:next w:val="a"/>
    <w:link w:val="a5"/>
    <w:qFormat/>
    <w:rsid w:val="00211488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a5">
    <w:name w:val="標題 字元"/>
    <w:basedOn w:val="a0"/>
    <w:link w:val="a4"/>
    <w:rsid w:val="00211488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0074EE"/>
    <w:pPr>
      <w:spacing w:after="120"/>
    </w:pPr>
  </w:style>
  <w:style w:type="character" w:customStyle="1" w:styleId="a7">
    <w:name w:val="本文 字元"/>
    <w:basedOn w:val="a0"/>
    <w:link w:val="a6"/>
    <w:uiPriority w:val="99"/>
    <w:semiHidden/>
    <w:rsid w:val="000074EE"/>
    <w:rPr>
      <w:rFonts w:eastAsia="新細明體"/>
      <w:kern w:val="1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211488"/>
    <w:rPr>
      <w:b/>
      <w:bCs/>
    </w:rPr>
  </w:style>
  <w:style w:type="character" w:styleId="a9">
    <w:name w:val="Emphasis"/>
    <w:basedOn w:val="a0"/>
    <w:qFormat/>
    <w:rsid w:val="00211488"/>
    <w:rPr>
      <w:b/>
      <w:bCs/>
      <w:i w:val="0"/>
      <w:iCs w:val="0"/>
    </w:rPr>
  </w:style>
  <w:style w:type="paragraph" w:styleId="aa">
    <w:name w:val="List Paragraph"/>
    <w:basedOn w:val="a"/>
    <w:qFormat/>
    <w:rsid w:val="00211488"/>
    <w:pPr>
      <w:widowControl/>
      <w:ind w:left="480"/>
    </w:pPr>
    <w:rPr>
      <w:rFonts w:ascii="Calibri" w:hAnsi="Calibri" w:cs="Calibri"/>
    </w:rPr>
  </w:style>
  <w:style w:type="character" w:customStyle="1" w:styleId="70">
    <w:name w:val="標題 7 字元"/>
    <w:basedOn w:val="a0"/>
    <w:link w:val="7"/>
    <w:uiPriority w:val="9"/>
    <w:rsid w:val="00211488"/>
    <w:rPr>
      <w:rFonts w:ascii="新細明體" w:eastAsia="新細明體" w:hAnsi="新細明體" w:cs="新細明體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2D6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2D66FE"/>
    <w:rPr>
      <w:rFonts w:eastAsia="新細明體"/>
      <w:kern w:val="2"/>
    </w:rPr>
  </w:style>
  <w:style w:type="paragraph" w:styleId="ad">
    <w:name w:val="footer"/>
    <w:basedOn w:val="a"/>
    <w:link w:val="ae"/>
    <w:uiPriority w:val="99"/>
    <w:semiHidden/>
    <w:unhideWhenUsed/>
    <w:rsid w:val="002D6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2D66FE"/>
    <w:rPr>
      <w:rFonts w:eastAsia="新細明體"/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DF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F2D8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1">
    <w:name w:val="Table Grid"/>
    <w:basedOn w:val="a1"/>
    <w:uiPriority w:val="59"/>
    <w:rsid w:val="007A4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753</Words>
  <Characters>4294</Characters>
  <Application>Microsoft Office Word</Application>
  <DocSecurity>0</DocSecurity>
  <Lines>35</Lines>
  <Paragraphs>10</Paragraphs>
  <ScaleCrop>false</ScaleCrop>
  <Company>NTU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Yi-Chia Chen</dc:creator>
  <cp:lastModifiedBy>Yi-Chia Chen</cp:lastModifiedBy>
  <cp:revision>27</cp:revision>
  <dcterms:created xsi:type="dcterms:W3CDTF">2011-06-23T14:16:00Z</dcterms:created>
  <dcterms:modified xsi:type="dcterms:W3CDTF">2011-06-24T06:24:00Z</dcterms:modified>
</cp:coreProperties>
</file>